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5C" w:rsidRDefault="001A4C5C" w:rsidP="001A4C5C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СОВЕТ НАРОДНЫХ ДЕПУТАТОВ</w:t>
      </w:r>
    </w:p>
    <w:p w:rsidR="001A4C5C" w:rsidRDefault="001A4C5C" w:rsidP="001A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СЕМЕЙСКОГО</w:t>
      </w:r>
      <w:r>
        <w:rPr>
          <w:b/>
          <w:sz w:val="28"/>
          <w:szCs w:val="28"/>
        </w:rPr>
        <w:t xml:space="preserve"> СЕЛЬСКОГО ПОСЕЛЕНИЯ</w:t>
      </w:r>
    </w:p>
    <w:p w:rsidR="001A4C5C" w:rsidRDefault="001A4C5C" w:rsidP="001A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1A4C5C" w:rsidRDefault="001A4C5C" w:rsidP="001A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A4C5C" w:rsidRDefault="001A4C5C" w:rsidP="001A4C5C">
      <w:pPr>
        <w:jc w:val="center"/>
        <w:rPr>
          <w:b/>
          <w:sz w:val="28"/>
          <w:szCs w:val="28"/>
          <w:lang w:val="ru-RU"/>
        </w:rPr>
      </w:pPr>
    </w:p>
    <w:p w:rsidR="001A4C5C" w:rsidRDefault="001A4C5C" w:rsidP="001A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4C5C" w:rsidRDefault="001A4C5C" w:rsidP="001A4C5C">
      <w:pPr>
        <w:jc w:val="center"/>
        <w:rPr>
          <w:b/>
          <w:sz w:val="28"/>
          <w:szCs w:val="28"/>
        </w:rPr>
      </w:pPr>
    </w:p>
    <w:p w:rsidR="001A4C5C" w:rsidRDefault="001A4C5C" w:rsidP="001A4C5C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от  29.04.2020 года № 6 </w:t>
      </w:r>
    </w:p>
    <w:p w:rsidR="001A4C5C" w:rsidRDefault="001A4C5C" w:rsidP="001A4C5C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2"/>
          <w:szCs w:val="28"/>
          <w:lang w:val="ru-RU" w:eastAsia="ru-RU" w:bidi="ar-SA"/>
        </w:rPr>
        <w:t>с.Семейка</w:t>
      </w:r>
    </w:p>
    <w:p w:rsidR="001A4C5C" w:rsidRDefault="001A4C5C" w:rsidP="001A4C5C">
      <w:pPr>
        <w:widowControl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 проекте решения «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</w:t>
      </w:r>
    </w:p>
    <w:p w:rsidR="001A4C5C" w:rsidRDefault="001A4C5C" w:rsidP="001A4C5C">
      <w:pPr>
        <w:widowControl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отчета об исполнении бюджета </w:t>
      </w:r>
    </w:p>
    <w:p w:rsidR="001A4C5C" w:rsidRDefault="001A4C5C" w:rsidP="001A4C5C">
      <w:pPr>
        <w:widowControl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Семейского сельского поселения </w:t>
      </w:r>
    </w:p>
    <w:p w:rsidR="001A4C5C" w:rsidRDefault="001A4C5C" w:rsidP="001A4C5C">
      <w:pPr>
        <w:widowControl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Подгоренского муниципального района </w:t>
      </w:r>
    </w:p>
    <w:p w:rsidR="001A4C5C" w:rsidRDefault="001A4C5C" w:rsidP="001A4C5C">
      <w:pPr>
        <w:widowControl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за 12 месяцев 2019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»  </w:t>
      </w:r>
    </w:p>
    <w:p w:rsidR="001A4C5C" w:rsidRDefault="001A4C5C" w:rsidP="001A4C5C">
      <w:pPr>
        <w:widowControl/>
        <w:suppressAutoHyphens w:val="0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1A4C5C" w:rsidRDefault="001A4C5C" w:rsidP="001A4C5C">
      <w:pPr>
        <w:widowControl/>
        <w:suppressAutoHyphens w:val="0"/>
        <w:autoSpaceDE w:val="0"/>
        <w:adjustRightInd w:val="0"/>
        <w:ind w:firstLine="708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A4C5C" w:rsidRDefault="001A4C5C" w:rsidP="001A4C5C">
      <w:pPr>
        <w:widowControl/>
        <w:suppressAutoHyphens w:val="0"/>
        <w:autoSpaceDE w:val="0"/>
        <w:adjustRightInd w:val="0"/>
        <w:ind w:firstLine="708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proofErr w:type="gramEnd"/>
    </w:p>
    <w:p w:rsidR="001A4C5C" w:rsidRDefault="001A4C5C" w:rsidP="001A4C5C">
      <w:pPr>
        <w:widowControl/>
        <w:suppressAutoHyphens w:val="0"/>
        <w:autoSpaceDE w:val="0"/>
        <w:adjustRightInd w:val="0"/>
        <w:ind w:firstLine="708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1A4C5C" w:rsidRDefault="001A4C5C" w:rsidP="001A4C5C">
      <w:pPr>
        <w:widowControl/>
        <w:suppressAutoHyphens w:val="0"/>
        <w:autoSpaceDE w:val="0"/>
        <w:adjustRightInd w:val="0"/>
        <w:ind w:firstLine="708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РЕШИЛ:</w:t>
      </w:r>
    </w:p>
    <w:p w:rsidR="001A4C5C" w:rsidRDefault="001A4C5C" w:rsidP="001A4C5C">
      <w:pPr>
        <w:widowControl/>
        <w:suppressAutoHyphens w:val="0"/>
        <w:autoSpaceDE w:val="0"/>
        <w:adjustRightInd w:val="0"/>
        <w:ind w:firstLine="708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1A4C5C" w:rsidRDefault="001A4C5C" w:rsidP="001A4C5C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contextualSpacing/>
        <w:jc w:val="both"/>
        <w:outlineLvl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Утвердить проект отчета об исполнении бюджета Семейского сельского поселения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согласно приложению №1.</w:t>
      </w:r>
    </w:p>
    <w:p w:rsidR="001A4C5C" w:rsidRDefault="001A4C5C" w:rsidP="001A4C5C">
      <w:pPr>
        <w:widowControl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2.  Утвердить Порядок учета предложений по проекту решения Совета народных депутатов Семейского сельского поселения «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Об утверждении отчета об исполнении бюджета Семейского сельского поселения Подгоренского муниципального района за 12 месяцев 2019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и участия граждан в его обсуждении, согласно приложению № 2.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3. Обнародовать проект решения Совета народных депутатов Семейского  сельского поселения «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Об утверждении отчета об исполнении бюджета Семейского сельского поселения Подгоренского муниципального района за 12 месяцев 2019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», Порядок учета предложений по указанному проекту решения и участия граждан в его обсуждении.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4. Назначить публичные слушания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на  13.05.2020 года на 10 час. 00 мин. в здании  Семейского СДК.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Об утверждении отчета об исполнении бюджета Семейского сельского поселения Подгоренского муниципального района за 12 месяцев 2019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», утвердив ее персональный состав: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>Гермоненко Евгений Викторович - глава Семейского сельского поселения, председатель комиссии;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Члены комиссии: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1) Штанько Василий Иванович - депутат Совета народных депутатов Семейского сельского поселения;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2) Шуткина Ольга Григорьевна - депутат Совета народных депутатов Семейского сельского поселения;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3) Бещенко Алексей Владимирович  - депутат Совета народных депутатов Семейского сельского поселения;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4) Гончарова Татьяна Викторовна - депутат Совета народных депутатов Семейского  сельского поселения.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  6.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 (Гермоненко Е.В.)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народных депутатов Семейского сельского поселения от 29.12.2005 года №11,  учет и рассмотрение всех поступивших  предложений по проекту решения «</w:t>
      </w: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Об утверждении отчета об исполнении бюджета Семейского сельского поселения Подгоренского муниципального района за 12 месяцев 2019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с участием лиц (их представителей), направивших указанные предложения.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Глава Семейского </w:t>
      </w:r>
    </w:p>
    <w:p w:rsidR="001A4C5C" w:rsidRDefault="001A4C5C" w:rsidP="001A4C5C">
      <w:pPr>
        <w:widowControl/>
        <w:suppressAutoHyphens w:val="0"/>
        <w:autoSpaceDE w:val="0"/>
        <w:adjustRightInd w:val="0"/>
        <w:ind w:hanging="642"/>
        <w:jc w:val="both"/>
        <w:outlineLvl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сельского поселения                                                            Е.В.Гермоненко</w:t>
      </w:r>
    </w:p>
    <w:p w:rsidR="001A4C5C" w:rsidRDefault="001A4C5C" w:rsidP="001A4C5C">
      <w:pPr>
        <w:tabs>
          <w:tab w:val="left" w:pos="2040"/>
          <w:tab w:val="center" w:pos="4677"/>
        </w:tabs>
        <w:rPr>
          <w:sz w:val="28"/>
          <w:szCs w:val="28"/>
          <w:lang w:val="ru-RU"/>
        </w:rPr>
      </w:pP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№1 </w:t>
      </w: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Совета народных депутатов </w:t>
      </w: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Семейского сельского поселения </w:t>
      </w:r>
    </w:p>
    <w:p w:rsidR="001A4C5C" w:rsidRDefault="001A4C5C" w:rsidP="001A4C5C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29.04.2020г. №6</w:t>
      </w:r>
    </w:p>
    <w:p w:rsidR="001A4C5C" w:rsidRDefault="001A4C5C" w:rsidP="007662C3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</w:p>
    <w:p w:rsidR="007662C3" w:rsidRPr="007662C3" w:rsidRDefault="007662C3" w:rsidP="007662C3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7662C3">
        <w:rPr>
          <w:b/>
          <w:sz w:val="28"/>
          <w:szCs w:val="28"/>
        </w:rPr>
        <w:t>СОВЕТ НАРОДНЫХ ДЕПУТАТОВ</w:t>
      </w:r>
    </w:p>
    <w:p w:rsidR="007662C3" w:rsidRPr="007662C3" w:rsidRDefault="007662C3" w:rsidP="007662C3">
      <w:pPr>
        <w:jc w:val="center"/>
        <w:rPr>
          <w:b/>
          <w:sz w:val="28"/>
          <w:szCs w:val="28"/>
        </w:rPr>
      </w:pPr>
      <w:r w:rsidRPr="007662C3">
        <w:rPr>
          <w:b/>
          <w:sz w:val="28"/>
          <w:szCs w:val="28"/>
          <w:lang w:val="ru-RU"/>
        </w:rPr>
        <w:t>СЕМЕЙСКОГО</w:t>
      </w:r>
      <w:r w:rsidRPr="007662C3">
        <w:rPr>
          <w:b/>
          <w:sz w:val="28"/>
          <w:szCs w:val="28"/>
        </w:rPr>
        <w:t xml:space="preserve"> СЕЛЬСКОГО ПОСЕЛЕНИЯ</w:t>
      </w:r>
    </w:p>
    <w:p w:rsidR="007662C3" w:rsidRPr="007662C3" w:rsidRDefault="007662C3" w:rsidP="007662C3">
      <w:pPr>
        <w:jc w:val="center"/>
        <w:rPr>
          <w:b/>
          <w:sz w:val="28"/>
          <w:szCs w:val="28"/>
        </w:rPr>
      </w:pPr>
      <w:r w:rsidRPr="007662C3">
        <w:rPr>
          <w:b/>
          <w:sz w:val="28"/>
          <w:szCs w:val="28"/>
        </w:rPr>
        <w:t>ПОДГОРЕНСКОГО МУНИЦИПАЛЬНОГО РАЙОНА</w:t>
      </w:r>
    </w:p>
    <w:p w:rsidR="007662C3" w:rsidRPr="007662C3" w:rsidRDefault="007662C3" w:rsidP="007662C3">
      <w:pPr>
        <w:jc w:val="center"/>
        <w:rPr>
          <w:b/>
          <w:sz w:val="28"/>
          <w:szCs w:val="28"/>
        </w:rPr>
      </w:pPr>
      <w:r w:rsidRPr="007662C3">
        <w:rPr>
          <w:b/>
          <w:sz w:val="28"/>
          <w:szCs w:val="28"/>
        </w:rPr>
        <w:t>ВОРОНЕЖСКОЙ ОБЛАСТИ</w:t>
      </w:r>
    </w:p>
    <w:p w:rsidR="007662C3" w:rsidRPr="007662C3" w:rsidRDefault="007662C3" w:rsidP="007662C3">
      <w:pPr>
        <w:jc w:val="center"/>
        <w:rPr>
          <w:b/>
          <w:sz w:val="28"/>
          <w:szCs w:val="28"/>
          <w:lang w:val="ru-RU"/>
        </w:rPr>
      </w:pPr>
    </w:p>
    <w:p w:rsidR="007662C3" w:rsidRPr="007662C3" w:rsidRDefault="007662C3" w:rsidP="007662C3">
      <w:pPr>
        <w:jc w:val="center"/>
        <w:rPr>
          <w:b/>
          <w:sz w:val="28"/>
          <w:szCs w:val="28"/>
        </w:rPr>
      </w:pPr>
      <w:r w:rsidRPr="007662C3">
        <w:rPr>
          <w:b/>
          <w:sz w:val="28"/>
          <w:szCs w:val="28"/>
        </w:rPr>
        <w:t>РЕШЕНИЕ</w:t>
      </w:r>
    </w:p>
    <w:p w:rsidR="007662C3" w:rsidRPr="007662C3" w:rsidRDefault="007662C3" w:rsidP="007662C3">
      <w:pPr>
        <w:jc w:val="center"/>
        <w:rPr>
          <w:b/>
          <w:sz w:val="28"/>
          <w:szCs w:val="28"/>
        </w:rPr>
      </w:pPr>
    </w:p>
    <w:p w:rsidR="007662C3" w:rsidRPr="007662C3" w:rsidRDefault="001A4C5C" w:rsidP="007662C3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от                  года №</w:t>
      </w:r>
      <w:r w:rsidR="007662C3" w:rsidRPr="007662C3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  </w:t>
      </w:r>
    </w:p>
    <w:p w:rsidR="007662C3" w:rsidRDefault="007662C3" w:rsidP="007662C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  <w:r w:rsidRPr="007662C3">
        <w:rPr>
          <w:rFonts w:eastAsia="Times New Roman" w:cs="Times New Roman"/>
          <w:kern w:val="0"/>
          <w:sz w:val="22"/>
          <w:szCs w:val="28"/>
          <w:lang w:val="ru-RU" w:eastAsia="ru-RU" w:bidi="ar-SA"/>
        </w:rPr>
        <w:t>с.Семейка</w:t>
      </w:r>
    </w:p>
    <w:p w:rsidR="007662C3" w:rsidRPr="007662C3" w:rsidRDefault="007662C3" w:rsidP="007662C3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бюджета Семейского сельского поселения 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Подгоренского муниципального района 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за 12 месяцев 2019 года.</w:t>
      </w:r>
    </w:p>
    <w:p w:rsidR="007662C3" w:rsidRPr="007662C3" w:rsidRDefault="007662C3" w:rsidP="007662C3">
      <w:pPr>
        <w:widowControl/>
        <w:autoSpaceDN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Бюджет Семейского сельского поселения за 12 месяцев 2019 года исполнен по доходам в сумме3745820,82</w:t>
      </w:r>
      <w:r w:rsidRPr="007662C3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рублей, что составляет 99,4</w:t>
      </w:r>
      <w:r w:rsidRPr="007662C3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>%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от уточненного плана:</w:t>
      </w:r>
    </w:p>
    <w:p w:rsidR="007662C3" w:rsidRPr="007662C3" w:rsidRDefault="007662C3" w:rsidP="007662C3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налог на доходы физических лиц 97,6%, что в абсолютном выражении составляет 8296,79  руб.;</w:t>
      </w:r>
    </w:p>
    <w:p w:rsidR="007662C3" w:rsidRPr="007662C3" w:rsidRDefault="007662C3" w:rsidP="007662C3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налог на имущество физических лиц 97,2% в абсолютном выражении на 14087,36 руб.;</w:t>
      </w:r>
    </w:p>
    <w:p w:rsidR="007662C3" w:rsidRPr="007662C3" w:rsidRDefault="007662C3" w:rsidP="007662C3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земельный налог 98,1% в абсолютном выражении 990384,1 руб.;</w:t>
      </w:r>
    </w:p>
    <w:p w:rsidR="007662C3" w:rsidRPr="007662C3" w:rsidRDefault="007662C3" w:rsidP="007662C3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госпошлина 100,0% в абсолютном выражении 1200,0 руб.;</w:t>
      </w:r>
    </w:p>
    <w:p w:rsidR="007662C3" w:rsidRPr="007662C3" w:rsidRDefault="007662C3" w:rsidP="007662C3">
      <w:pPr>
        <w:widowControl/>
        <w:autoSpaceDN/>
        <w:ind w:left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иные межбюджетные трансферты 100,0% в абсолютном выражении 1169307,0 руб.;</w:t>
      </w:r>
    </w:p>
    <w:p w:rsidR="007662C3" w:rsidRPr="007662C3" w:rsidRDefault="007662C3" w:rsidP="007662C3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>Поступление неналоговых доходов 99,0%, в абсолютном выражении 75245,57 руб., в том числе:</w:t>
      </w:r>
    </w:p>
    <w:p w:rsidR="007662C3" w:rsidRPr="007662C3" w:rsidRDefault="007662C3" w:rsidP="007662C3">
      <w:pPr>
        <w:widowControl/>
        <w:autoSpaceDN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- доходы от арендной платы за земли после разграничения государственной собственности на землю 99,0% в абсолютном выражении 75245,57 руб.</w:t>
      </w:r>
    </w:p>
    <w:p w:rsidR="007662C3" w:rsidRPr="007662C3" w:rsidRDefault="007662C3" w:rsidP="007662C3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Бюджет Семейского сельского поселения за 12 месяцев 2019 год исполнен по расходам в сумме 3312641,87 рублей, или 92,62</w:t>
      </w:r>
      <w:r w:rsidRPr="007662C3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%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к уточненному годовому  плану.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 xml:space="preserve">Расходы на общегосударственные вопросы исполнены на 98,67% к уточненному плану, в абсолютном выражении 1683761,37 </w:t>
      </w:r>
      <w:r w:rsidRPr="007662C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руб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.;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 xml:space="preserve">Расходы на благоустройство территории населенных пунктов исполнены на 79,82% к уточненному плану в </w:t>
      </w:r>
      <w:proofErr w:type="gramStart"/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абсолютном</w:t>
      </w:r>
      <w:proofErr w:type="gramEnd"/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выражен 233738,35 рублей;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ab/>
        <w:t xml:space="preserve">Расходы на ВУС исполнены на 100,0% в абсолютном выражении 78800,0 руб.; 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7662C3" w:rsidRPr="007662C3" w:rsidRDefault="007662C3" w:rsidP="007662C3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Расходы на национальную экономику исполнены на 81,77% в абсолютном выражении 795261,59 руб.; Расходы на  межбюджетные трансферты культуре исполнены на 100,0% в абсолютном выражении 411000,0 руб.</w:t>
      </w:r>
    </w:p>
    <w:p w:rsidR="007662C3" w:rsidRPr="007662C3" w:rsidRDefault="007662C3" w:rsidP="007662C3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Расхода на социальную политику исполнены на 95,72% в абсолютном выражении 110080,56 руб.</w:t>
      </w:r>
    </w:p>
    <w:p w:rsidR="007662C3" w:rsidRPr="007662C3" w:rsidRDefault="007662C3" w:rsidP="007662C3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Рассмотрев отчёт об исполнении бюджета Семейского сельского поселения за 12месяцев  2019 года по доходам в сумме 3745820,82</w:t>
      </w:r>
      <w:r w:rsidRPr="007662C3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рублей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и по расходам в сумме 3312641,87</w:t>
      </w:r>
      <w:r w:rsidRPr="007662C3">
        <w:rPr>
          <w:rFonts w:eastAsia="Times New Roman" w:cs="Times New Roman"/>
          <w:bCs/>
          <w:kern w:val="0"/>
          <w:sz w:val="28"/>
          <w:szCs w:val="28"/>
          <w:lang w:val="ru-RU" w:eastAsia="ar-SA" w:bidi="ar-SA"/>
        </w:rPr>
        <w:t xml:space="preserve"> рублей,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Совет народных депутатов Семейского сельского поселения</w:t>
      </w:r>
    </w:p>
    <w:p w:rsidR="007662C3" w:rsidRPr="007662C3" w:rsidRDefault="007662C3" w:rsidP="007662C3">
      <w:pPr>
        <w:widowControl/>
        <w:autoSpaceDN/>
        <w:jc w:val="center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jc w:val="center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РЕШИЛ:</w:t>
      </w:r>
    </w:p>
    <w:p w:rsidR="007662C3" w:rsidRPr="007662C3" w:rsidRDefault="007662C3" w:rsidP="007662C3">
      <w:pPr>
        <w:widowControl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numPr>
          <w:ilvl w:val="0"/>
          <w:numId w:val="1"/>
        </w:numPr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Утвердить отчёт об исполнении бюджета Семейского сельского поселения за 12 месяцев 2019 года.</w:t>
      </w:r>
    </w:p>
    <w:p w:rsidR="007662C3" w:rsidRPr="007662C3" w:rsidRDefault="007662C3" w:rsidP="007662C3">
      <w:pPr>
        <w:widowControl/>
        <w:numPr>
          <w:ilvl w:val="0"/>
          <w:numId w:val="1"/>
        </w:numPr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Настоящее решение подлежит обнародованию в установленном порядке.</w:t>
      </w:r>
    </w:p>
    <w:p w:rsidR="007662C3" w:rsidRPr="007662C3" w:rsidRDefault="007662C3" w:rsidP="007662C3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widowControl/>
        <w:autoSpaceDN/>
        <w:ind w:firstLine="720"/>
        <w:jc w:val="both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P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Глава Семейского </w:t>
      </w:r>
    </w:p>
    <w:p w:rsidR="00DD60BB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сельского поселения                                                             Е.В. Гермоненко</w:t>
      </w: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 xml:space="preserve">Приложение №1 </w:t>
      </w: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к решению Совета народных депутатов </w:t>
      </w: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Семейского сельского поселения </w:t>
      </w:r>
    </w:p>
    <w:p w:rsidR="007662C3" w:rsidRDefault="001A4C5C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от _______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г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. №</w:t>
      </w:r>
    </w:p>
    <w:p w:rsidR="007662C3" w:rsidRDefault="007662C3" w:rsidP="007662C3">
      <w:pPr>
        <w:jc w:val="center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</w:p>
    <w:tbl>
      <w:tblPr>
        <w:tblW w:w="107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3544"/>
        <w:gridCol w:w="1440"/>
        <w:gridCol w:w="1420"/>
        <w:gridCol w:w="1351"/>
      </w:tblGrid>
      <w:tr w:rsidR="007662C3" w:rsidRPr="007662C3" w:rsidTr="007662C3">
        <w:trPr>
          <w:trHeight w:val="285"/>
        </w:trPr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Справка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62C3" w:rsidRPr="007662C3" w:rsidTr="007662C3">
        <w:trPr>
          <w:trHeight w:val="285"/>
        </w:trPr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62C3" w:rsidRPr="007662C3" w:rsidTr="007662C3">
        <w:trPr>
          <w:trHeight w:val="300"/>
        </w:trPr>
        <w:tc>
          <w:tcPr>
            <w:tcW w:w="9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за 12 месяцев 2019 года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62C3" w:rsidRPr="007662C3" w:rsidTr="007662C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62C3" w:rsidRPr="007662C3" w:rsidTr="007662C3">
        <w:trPr>
          <w:trHeight w:val="25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КБК РФ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доходов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097DEC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Исполнено за 2019</w:t>
            </w:r>
            <w:r w:rsidR="007662C3"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% выполнения плана</w:t>
            </w:r>
          </w:p>
        </w:tc>
      </w:tr>
      <w:tr w:rsidR="007662C3" w:rsidRPr="007662C3" w:rsidTr="007662C3">
        <w:trPr>
          <w:trHeight w:val="25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7662C3" w:rsidRPr="007662C3" w:rsidTr="007662C3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7662C3" w:rsidRPr="007662C3" w:rsidTr="007662C3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000  8  50  00000  00  0000  000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 бюджета -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3 766 807,00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3 745 820,82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99,4</w:t>
            </w:r>
          </w:p>
        </w:tc>
      </w:tr>
      <w:tr w:rsidR="007662C3" w:rsidRPr="007662C3" w:rsidTr="007662C3">
        <w:trPr>
          <w:trHeight w:val="2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1110200,00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1 089 213,82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98,1</w:t>
            </w:r>
          </w:p>
        </w:tc>
      </w:tr>
      <w:tr w:rsidR="007662C3" w:rsidRPr="007662C3" w:rsidTr="007662C3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000  1  01  02000  01  0000  110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8 296,79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97,6</w:t>
            </w:r>
          </w:p>
        </w:tc>
      </w:tr>
      <w:tr w:rsidR="007662C3" w:rsidRPr="007662C3" w:rsidTr="007662C3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000  1  01  02010  01  0000  110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8 296,79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97,6</w:t>
            </w:r>
          </w:p>
        </w:tc>
      </w:tr>
      <w:tr w:rsidR="007662C3" w:rsidRPr="007662C3" w:rsidTr="007662C3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000  1  06  01000  00  0000  110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14 087,36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97,2</w:t>
            </w:r>
          </w:p>
        </w:tc>
      </w:tr>
      <w:tr w:rsidR="007662C3" w:rsidRPr="007662C3" w:rsidTr="007662C3">
        <w:trPr>
          <w:trHeight w:val="40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000  1  06  06000  00  0000  110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1010000,00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990384,1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98,1</w:t>
            </w:r>
          </w:p>
        </w:tc>
      </w:tr>
      <w:tr w:rsidR="007662C3" w:rsidRPr="007662C3" w:rsidTr="007662C3">
        <w:trPr>
          <w:trHeight w:val="49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000  1  06  06030  00  0000  110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670000,00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655 816,76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97,9</w:t>
            </w:r>
          </w:p>
        </w:tc>
      </w:tr>
      <w:tr w:rsidR="007662C3" w:rsidRPr="007662C3" w:rsidTr="007662C3">
        <w:trPr>
          <w:trHeight w:val="51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000  1  06  06040  00  0000  110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340000,00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334 567,34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98,4</w:t>
            </w:r>
          </w:p>
        </w:tc>
      </w:tr>
      <w:tr w:rsidR="007662C3" w:rsidRPr="007662C3" w:rsidTr="007662C3">
        <w:trPr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000  1  08  00000  00  0000  000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1 200,00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000  1  11  00000  00  0000  000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75 245,57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</w:tr>
      <w:tr w:rsidR="007662C3" w:rsidRPr="007662C3" w:rsidTr="007662C3">
        <w:trPr>
          <w:trHeight w:val="10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1  1  11  05020  00  0000  120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Доходы, получаемые в виде арендной платы за земельные участки,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в(</w:t>
            </w:r>
            <w:proofErr w:type="gramEnd"/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75 245,57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99,0</w:t>
            </w:r>
          </w:p>
        </w:tc>
      </w:tr>
      <w:tr w:rsidR="007662C3" w:rsidRPr="007662C3" w:rsidTr="007662C3">
        <w:trPr>
          <w:trHeight w:val="50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2 656 607,00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2 656 607,00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2 656 607,00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2 656 607,00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4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lastRenderedPageBreak/>
              <w:t>000  2  02  01000  00  0000  150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1 408 500,00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1 408 500,00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000  2  02  15001  00  0000  150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168 100,00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168 100,00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5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000  2  02  15002  00  0000  150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1 240 400,00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1 240 400,00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5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000  2  02  03000  00  0000  150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78 800,00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000  2  02  04000  00  0000  150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1169307,00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1169307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7662C3" w:rsidRPr="007662C3" w:rsidTr="007662C3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000  8  90  00000  00  0000  000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3766807,00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3745820,82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99,4</w:t>
            </w:r>
          </w:p>
        </w:tc>
      </w:tr>
    </w:tbl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 xml:space="preserve">Приложение №2 </w:t>
      </w: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к решению Совета народных депутатов </w:t>
      </w:r>
    </w:p>
    <w:p w:rsidR="007662C3" w:rsidRDefault="007662C3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Семейского сельского поселения </w:t>
      </w:r>
    </w:p>
    <w:p w:rsidR="007662C3" w:rsidRDefault="001A4C5C" w:rsidP="007662C3">
      <w:pPr>
        <w:jc w:val="right"/>
        <w:rPr>
          <w:rFonts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от _________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г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. №</w:t>
      </w: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0312" w:type="dxa"/>
        <w:tblInd w:w="-601" w:type="dxa"/>
        <w:tblLook w:val="04A0" w:firstRow="1" w:lastRow="0" w:firstColumn="1" w:lastColumn="0" w:noHBand="0" w:noVBand="1"/>
      </w:tblPr>
      <w:tblGrid>
        <w:gridCol w:w="2836"/>
        <w:gridCol w:w="3118"/>
        <w:gridCol w:w="1380"/>
        <w:gridCol w:w="1597"/>
        <w:gridCol w:w="1381"/>
      </w:tblGrid>
      <w:tr w:rsidR="007662C3" w:rsidRPr="007662C3" w:rsidTr="00097DEC">
        <w:trPr>
          <w:trHeight w:val="1080"/>
        </w:trPr>
        <w:tc>
          <w:tcPr>
            <w:tcW w:w="10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Справка по исполнению бюджета Семейского сельского поселения по расходам за 12 месяцев 2019 год</w:t>
            </w:r>
          </w:p>
        </w:tc>
      </w:tr>
      <w:tr w:rsidR="007662C3" w:rsidRPr="007662C3" w:rsidTr="00097DEC">
        <w:trPr>
          <w:trHeight w:val="76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Код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Уточненный план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62C3" w:rsidRPr="007662C3" w:rsidRDefault="00097DEC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Исполнено 2019</w:t>
            </w:r>
            <w:r w:rsidR="007662C3"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% исполнения</w:t>
            </w:r>
          </w:p>
        </w:tc>
      </w:tr>
      <w:tr w:rsidR="007662C3" w:rsidRPr="007662C3" w:rsidTr="00097DEC">
        <w:trPr>
          <w:trHeight w:val="4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000  9600  0000000  000  000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Расходы бюджета - 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3 576 569,77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3 312 641,87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92,62</w:t>
            </w:r>
          </w:p>
        </w:tc>
      </w:tr>
      <w:tr w:rsidR="007662C3" w:rsidRPr="007662C3" w:rsidTr="00097DEC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000  0100  0000000  000  000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1 706 407,77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1 683 761,37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98,67</w:t>
            </w:r>
          </w:p>
        </w:tc>
      </w:tr>
      <w:tr w:rsidR="007662C3" w:rsidRPr="007662C3" w:rsidTr="00097DEC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000  0200  0000000  000  000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78 800,00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78 800,00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100,00</w:t>
            </w:r>
          </w:p>
        </w:tc>
      </w:tr>
      <w:tr w:rsidR="007662C3" w:rsidRPr="007662C3" w:rsidTr="00097DEC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000  0300  0000000  000  000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097DEC" w:rsidP="00097DEC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7662C3" w:rsidRPr="007662C3" w:rsidTr="00097DEC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000  0400  0000000  000  000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972 536,45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795 261,59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81,77</w:t>
            </w:r>
          </w:p>
        </w:tc>
      </w:tr>
      <w:tr w:rsidR="007662C3" w:rsidRPr="007662C3" w:rsidTr="00097DEC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000  0500  0000000  000  000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292 825,55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233 738,35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79,82</w:t>
            </w:r>
          </w:p>
        </w:tc>
      </w:tr>
      <w:tr w:rsidR="007662C3" w:rsidRPr="007662C3" w:rsidTr="00097DEC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000  0800  0000000  000  000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411 000,00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411 000,00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100,00</w:t>
            </w:r>
          </w:p>
        </w:tc>
      </w:tr>
      <w:tr w:rsidR="007662C3" w:rsidRPr="007662C3" w:rsidTr="00097DEC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000  1000  0000000  000  000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115 000,00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110 080,56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95,72</w:t>
            </w:r>
          </w:p>
        </w:tc>
      </w:tr>
      <w:tr w:rsidR="007662C3" w:rsidRPr="007662C3" w:rsidTr="00097DEC">
        <w:trPr>
          <w:trHeight w:val="4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000  1001  0000000  000  263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115 000,00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110 080,56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2C3" w:rsidRPr="007662C3" w:rsidRDefault="007662C3" w:rsidP="007662C3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662C3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95,72</w:t>
            </w:r>
          </w:p>
        </w:tc>
      </w:tr>
    </w:tbl>
    <w:p w:rsidR="007662C3" w:rsidRDefault="007662C3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p w:rsidR="001A4C5C" w:rsidRDefault="001A4C5C" w:rsidP="001A4C5C">
      <w:pPr>
        <w:jc w:val="right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Приложение №2 </w:t>
      </w:r>
    </w:p>
    <w:p w:rsidR="001A4C5C" w:rsidRDefault="001A4C5C" w:rsidP="001A4C5C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к решению Совета народных депутатов </w:t>
      </w:r>
    </w:p>
    <w:p w:rsidR="001A4C5C" w:rsidRDefault="001A4C5C" w:rsidP="001A4C5C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Семейского сельского поселения </w:t>
      </w:r>
    </w:p>
    <w:p w:rsidR="001A4C5C" w:rsidRDefault="001A4C5C" w:rsidP="001A4C5C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от 29.04.2020г. №6</w:t>
      </w:r>
    </w:p>
    <w:p w:rsidR="001A4C5C" w:rsidRDefault="001A4C5C" w:rsidP="001A4C5C">
      <w:pPr>
        <w:jc w:val="right"/>
        <w:rPr>
          <w:sz w:val="28"/>
          <w:lang w:val="ru-RU"/>
        </w:rPr>
      </w:pP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center"/>
        <w:rPr>
          <w:rFonts w:eastAsia="Times New Roman" w:cs="Times New Roman"/>
          <w:b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b/>
          <w:kern w:val="0"/>
          <w:sz w:val="28"/>
          <w:lang w:val="ru-RU" w:eastAsia="ru-RU" w:bidi="ar-SA"/>
        </w:rPr>
        <w:t>Порядок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center"/>
        <w:rPr>
          <w:rFonts w:eastAsia="Times New Roman" w:cs="Times New Roman"/>
          <w:b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b/>
          <w:kern w:val="0"/>
          <w:sz w:val="28"/>
          <w:lang w:val="ru-RU" w:eastAsia="ru-RU" w:bidi="ar-SA"/>
        </w:rPr>
        <w:t xml:space="preserve">учета предложений  по проекту решения Совета народных депутатов Семейского сельского поселения «Об утверждении отчета об исполнении бюджета Семейского сельского поселения Подгоренского муниципального района за </w:t>
      </w:r>
      <w:r w:rsidRPr="001A4C5C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b/>
          <w:kern w:val="0"/>
          <w:sz w:val="28"/>
          <w:lang w:val="ru-RU" w:eastAsia="ru-RU" w:bidi="ar-SA"/>
        </w:rPr>
        <w:t>», а также порядок участия граждан в его обсуждении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rPr>
          <w:rFonts w:eastAsia="Times New Roman" w:cs="Times New Roman"/>
          <w:kern w:val="0"/>
          <w:sz w:val="28"/>
          <w:lang w:val="ru-RU" w:eastAsia="ru-RU" w:bidi="ar-SA"/>
        </w:rPr>
      </w:pP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   1.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Настоящий порядок учета предложений по проекту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Об утверждении отчета об исполнении бюджета Семейского</w:t>
      </w:r>
      <w:proofErr w:type="gramEnd"/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», а также регулирует правоотношения, возникающие при обсуждении указанного проекта  решения.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 2.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Правовую основу учета предложений по проекту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</w:t>
      </w:r>
      <w:proofErr w:type="gramEnd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», другие законодательные акты, Устав Семейского сельского поселения, иные правовые акты Семейского сельского поселения.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  3. Право вносить предложения по проекту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», а также участвовать в его обсуждении имеют жители района.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 4. Предложения по проекту решения могут подаваться в устной или письменной форме. 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lastRenderedPageBreak/>
        <w:t xml:space="preserve">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 5.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По результатам рассмотрения поступивших предложений по проекту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  <w:proofErr w:type="gramEnd"/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Поступившие предложения отклоняются, если: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-  предложения регулируют вопросы, которые не могут регулироваться Уставом поселения.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 6. Предложения по проекту решения принимаются с момента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обнародования проекта решения Совета народных депутатов</w:t>
      </w:r>
      <w:proofErr w:type="gramEnd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по адресу: Воронежская область, Подгоренский район, с.Семейка, ул. Молодежная, 19 .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7.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За 7 дней до даты рассмотрения Советом народных депутатов Семейского сельского поселения вопроса «</w:t>
      </w:r>
      <w:r w:rsidRPr="00C51DBB">
        <w:rPr>
          <w:rFonts w:eastAsia="Times New Roman" w:cs="Times New Roman"/>
          <w:kern w:val="0"/>
          <w:sz w:val="28"/>
          <w:lang w:val="ru-RU" w:eastAsia="ru-RU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» прием  предложений по 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lastRenderedPageBreak/>
        <w:t>проекту решения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прекращается.</w:t>
      </w:r>
      <w:proofErr w:type="gramEnd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Комиссия не позднее указанного срока вырабатывает окончательный вариант проекта решения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и вносит его для окончательного рассмотрения в Совет народных депутатов Семейского сельского поселения.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8. </w:t>
      </w:r>
      <w:proofErr w:type="gramStart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Обсуждение проекта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осуществляется на публичных слушаниях, проводимых по проекту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или при заседании</w:t>
      </w:r>
      <w:proofErr w:type="gramEnd"/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комиссии по подготовке проекта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при рассмотрении письменных предложений.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 xml:space="preserve">       Обсуждение проекта решения Совета народных депутатов Семейского сельского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1A4C5C" w:rsidRPr="006F0D31" w:rsidRDefault="001A4C5C" w:rsidP="001A4C5C">
      <w:pPr>
        <w:widowControl/>
        <w:tabs>
          <w:tab w:val="left" w:pos="5257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lang w:val="ru-RU" w:eastAsia="ru-RU" w:bidi="ar-SA"/>
        </w:rPr>
      </w:pP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Принципами обсуждения проекта решения Совета народных депутатов поселения «</w:t>
      </w:r>
      <w:r w:rsidRPr="00C340C2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 xml:space="preserve">Об утверждении отчета об исполнении бюджета Семейского сельского поселения Подгоренского муниципального района за </w:t>
      </w:r>
      <w:r w:rsidRPr="007662C3">
        <w:rPr>
          <w:rFonts w:eastAsia="Times New Roman" w:cs="Times New Roman"/>
          <w:kern w:val="0"/>
          <w:sz w:val="28"/>
          <w:szCs w:val="28"/>
          <w:lang w:val="ru-RU" w:eastAsia="ar-SA" w:bidi="ar-SA"/>
        </w:rPr>
        <w:t>12 месяцев 2019 года</w:t>
      </w:r>
      <w:r w:rsidRPr="006F0D31">
        <w:rPr>
          <w:rFonts w:eastAsia="Times New Roman" w:cs="Times New Roman"/>
          <w:kern w:val="0"/>
          <w:sz w:val="28"/>
          <w:lang w:val="ru-RU" w:eastAsia="ru-RU" w:bidi="ar-SA"/>
        </w:rPr>
        <w:t>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1A4C5C" w:rsidRPr="006F0D31" w:rsidRDefault="001A4C5C" w:rsidP="001A4C5C">
      <w:pPr>
        <w:jc w:val="center"/>
        <w:rPr>
          <w:sz w:val="28"/>
          <w:lang w:val="ru-RU"/>
        </w:rPr>
      </w:pPr>
    </w:p>
    <w:p w:rsidR="001A4C5C" w:rsidRPr="007662C3" w:rsidRDefault="001A4C5C" w:rsidP="007662C3">
      <w:pPr>
        <w:jc w:val="center"/>
        <w:rPr>
          <w:rFonts w:cs="Times New Roman"/>
          <w:sz w:val="28"/>
          <w:szCs w:val="28"/>
          <w:lang w:val="ru-RU"/>
        </w:rPr>
      </w:pPr>
    </w:p>
    <w:sectPr w:rsidR="001A4C5C" w:rsidRPr="0076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CB"/>
    <w:rsid w:val="00097DEC"/>
    <w:rsid w:val="001A4C5C"/>
    <w:rsid w:val="003C70CB"/>
    <w:rsid w:val="007662C3"/>
    <w:rsid w:val="00D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2647</Words>
  <Characters>15090</Characters>
  <Application>Microsoft Office Word</Application>
  <DocSecurity>0</DocSecurity>
  <Lines>125</Lines>
  <Paragraphs>35</Paragraphs>
  <ScaleCrop>false</ScaleCrop>
  <Company/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6</cp:revision>
  <dcterms:created xsi:type="dcterms:W3CDTF">2020-04-29T05:49:00Z</dcterms:created>
  <dcterms:modified xsi:type="dcterms:W3CDTF">2020-04-29T07:21:00Z</dcterms:modified>
</cp:coreProperties>
</file>