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bookmarkStart w:id="0" w:name="_GoBack"/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СОВЕТ НАРОДНЫХ ДЕПУТАТОВ</w:t>
      </w:r>
    </w:p>
    <w:p w:rsidR="004F0BFA" w:rsidRDefault="004F0BFA" w:rsidP="004F0BFA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 xml:space="preserve"> СЕЛЬСКОГО ПОСЕЛЕНИЯ</w:t>
      </w:r>
    </w:p>
    <w:p w:rsidR="004F0BFA" w:rsidRDefault="004F0BFA" w:rsidP="004F0BFA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ПОДГОРЕНСКОГО МУНИЦИПАЛЬНОГО РАЙОНА</w:t>
      </w:r>
    </w:p>
    <w:p w:rsidR="004F0BFA" w:rsidRDefault="004F0BFA" w:rsidP="004F0BFA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ВОРОНЕЖСКОЙ ОБЛАСТИ</w:t>
      </w:r>
    </w:p>
    <w:p w:rsidR="004F0BFA" w:rsidRDefault="004F0BFA" w:rsidP="004F0BFA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4F0BFA" w:rsidRDefault="004F0BFA" w:rsidP="004F0BFA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РЕШЕНИЕ</w:t>
      </w:r>
    </w:p>
    <w:p w:rsidR="004F0BFA" w:rsidRDefault="004F0BFA" w:rsidP="004F0BFA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</w:p>
    <w:p w:rsidR="004F0BFA" w:rsidRDefault="004F0BFA" w:rsidP="004F0BFA">
      <w:pPr>
        <w:suppressAutoHyphens w:val="0"/>
        <w:autoSpaceDN w:val="0"/>
        <w:spacing w:line="276" w:lineRule="auto"/>
        <w:jc w:val="both"/>
        <w:rPr>
          <w:b/>
          <w:sz w:val="24"/>
          <w:szCs w:val="28"/>
          <w:u w:val="single"/>
          <w:lang w:eastAsia="ru-RU"/>
        </w:rPr>
      </w:pPr>
      <w:r>
        <w:rPr>
          <w:b/>
          <w:sz w:val="24"/>
          <w:szCs w:val="28"/>
          <w:u w:val="single"/>
          <w:lang w:eastAsia="ru-RU"/>
        </w:rPr>
        <w:t>от 25.02.2022 года № 64</w:t>
      </w:r>
    </w:p>
    <w:p w:rsidR="004F0BFA" w:rsidRDefault="004F0BFA" w:rsidP="004F0BFA">
      <w:pPr>
        <w:suppressAutoHyphens w:val="0"/>
        <w:autoSpaceDN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с.Семейка</w:t>
      </w:r>
    </w:p>
    <w:p w:rsidR="004F0BFA" w:rsidRDefault="004F0BFA" w:rsidP="004F0BFA">
      <w:pPr>
        <w:autoSpaceDN w:val="0"/>
        <w:jc w:val="both"/>
        <w:rPr>
          <w:sz w:val="24"/>
          <w:szCs w:val="28"/>
        </w:rPr>
      </w:pPr>
      <w:r>
        <w:rPr>
          <w:sz w:val="24"/>
          <w:szCs w:val="28"/>
          <w:lang w:eastAsia="ru-RU"/>
        </w:rPr>
        <w:t>О проекте решения «</w:t>
      </w:r>
      <w:r>
        <w:rPr>
          <w:sz w:val="24"/>
          <w:szCs w:val="28"/>
        </w:rPr>
        <w:t xml:space="preserve">Об утверждении отчета </w:t>
      </w:r>
    </w:p>
    <w:p w:rsidR="004F0BFA" w:rsidRDefault="004F0BFA" w:rsidP="004F0BFA">
      <w:pPr>
        <w:autoSpaceDN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об исполнении бюджета Семейского сельского </w:t>
      </w:r>
    </w:p>
    <w:p w:rsidR="004F0BFA" w:rsidRDefault="004F0BFA" w:rsidP="004F0BFA">
      <w:pPr>
        <w:autoSpaceDN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поселения Подгоренского муниципального </w:t>
      </w:r>
    </w:p>
    <w:p w:rsidR="004F0BFA" w:rsidRDefault="004F0BFA" w:rsidP="004F0BFA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</w:rPr>
        <w:t>района за 12 месяцев 2021 года.</w:t>
      </w:r>
      <w:r>
        <w:rPr>
          <w:sz w:val="24"/>
          <w:szCs w:val="28"/>
          <w:lang w:eastAsia="ru-RU"/>
        </w:rPr>
        <w:t xml:space="preserve"> </w:t>
      </w:r>
    </w:p>
    <w:bookmarkEnd w:id="0"/>
    <w:p w:rsidR="004F0BFA" w:rsidRDefault="004F0BFA" w:rsidP="004F0BFA">
      <w:pPr>
        <w:suppressAutoHyphens w:val="0"/>
        <w:autoSpaceDN w:val="0"/>
        <w:rPr>
          <w:bCs/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</w:p>
    <w:p w:rsidR="004F0BFA" w:rsidRDefault="004F0BFA" w:rsidP="004F0BFA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  <w:proofErr w:type="gramStart"/>
      <w:r>
        <w:rPr>
          <w:sz w:val="24"/>
          <w:szCs w:val="28"/>
          <w:lang w:eastAsia="ru-RU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>
        <w:rPr>
          <w:sz w:val="24"/>
          <w:szCs w:val="28"/>
        </w:rPr>
        <w:t>3 месяца 2021 года</w:t>
      </w:r>
      <w:r>
        <w:rPr>
          <w:sz w:val="24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proofErr w:type="gramEnd"/>
    </w:p>
    <w:p w:rsidR="004F0BFA" w:rsidRDefault="004F0BFA" w:rsidP="004F0BFA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4F0BFA" w:rsidRDefault="004F0BFA" w:rsidP="004F0BFA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РЕШИЛ: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4F0BFA" w:rsidRDefault="004F0BFA" w:rsidP="004F0BF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b/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Утвердить проект отчета об исполнении бюджета Семейского сельского поселения за </w:t>
      </w:r>
      <w:r>
        <w:rPr>
          <w:sz w:val="24"/>
          <w:szCs w:val="28"/>
        </w:rPr>
        <w:t>12 месяцев 2021 года</w:t>
      </w:r>
      <w:r>
        <w:rPr>
          <w:sz w:val="24"/>
          <w:szCs w:val="28"/>
          <w:lang w:eastAsia="ru-RU"/>
        </w:rPr>
        <w:t xml:space="preserve"> согласно приложению №1.</w:t>
      </w:r>
    </w:p>
    <w:p w:rsidR="004F0BFA" w:rsidRDefault="004F0BFA" w:rsidP="004F0BFA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2.  Утвердить Порядок учета предложений по проекту решения Совета народных депутатов Семейского сельского поселения «</w:t>
      </w:r>
      <w:r>
        <w:rPr>
          <w:sz w:val="24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2021 года</w:t>
      </w:r>
      <w:r>
        <w:rPr>
          <w:sz w:val="24"/>
          <w:szCs w:val="28"/>
          <w:lang w:eastAsia="ru-RU"/>
        </w:rPr>
        <w:t>» и участия граждан в его обсуждении, согласно приложению № 2.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3. Обнародовать проект решения Совета народных депутатов Семейского  сельского поселения «</w:t>
      </w:r>
      <w:r>
        <w:rPr>
          <w:sz w:val="24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2021 года</w:t>
      </w:r>
      <w:r>
        <w:rPr>
          <w:sz w:val="24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</w:t>
      </w:r>
      <w:r>
        <w:rPr>
          <w:sz w:val="24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8"/>
        </w:rPr>
        <w:t>12 месяцев 2021 года</w:t>
      </w:r>
      <w:r>
        <w:rPr>
          <w:sz w:val="24"/>
          <w:szCs w:val="28"/>
          <w:lang w:eastAsia="ru-RU"/>
        </w:rPr>
        <w:t>» на  11.03.2022 года на 11 час. 00 мин. в здании  Семейского СДК.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>
        <w:rPr>
          <w:sz w:val="24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2021 года</w:t>
      </w:r>
      <w:r>
        <w:rPr>
          <w:sz w:val="24"/>
          <w:szCs w:val="28"/>
          <w:lang w:eastAsia="ru-RU"/>
        </w:rPr>
        <w:t>», утвердив ее персональный состав: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</w:t>
      </w:r>
      <w:r>
        <w:rPr>
          <w:sz w:val="24"/>
          <w:szCs w:val="28"/>
          <w:lang w:eastAsia="ru-RU"/>
        </w:rPr>
        <w:tab/>
      </w:r>
      <w:proofErr w:type="spellStart"/>
      <w:r>
        <w:rPr>
          <w:sz w:val="24"/>
          <w:szCs w:val="28"/>
          <w:lang w:eastAsia="ru-RU"/>
        </w:rPr>
        <w:t>Гермоненко</w:t>
      </w:r>
      <w:proofErr w:type="spellEnd"/>
      <w:r>
        <w:rPr>
          <w:sz w:val="24"/>
          <w:szCs w:val="28"/>
          <w:lang w:eastAsia="ru-RU"/>
        </w:rPr>
        <w:t xml:space="preserve"> Евгений Викторович - глава Семейского сельского поселения, председатель комиссии;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Члены комиссии: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1) Шубин Юрий Анатольевич - депутат Совета народных депутатов Семейского сельского поселения;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lastRenderedPageBreak/>
        <w:t xml:space="preserve">         2) </w:t>
      </w:r>
      <w:proofErr w:type="spellStart"/>
      <w:r>
        <w:rPr>
          <w:sz w:val="24"/>
          <w:szCs w:val="28"/>
          <w:lang w:eastAsia="ru-RU"/>
        </w:rPr>
        <w:t>Шуткина</w:t>
      </w:r>
      <w:proofErr w:type="spellEnd"/>
      <w:r>
        <w:rPr>
          <w:sz w:val="24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3) </w:t>
      </w:r>
      <w:proofErr w:type="spellStart"/>
      <w:r>
        <w:rPr>
          <w:sz w:val="24"/>
          <w:szCs w:val="28"/>
          <w:lang w:eastAsia="ru-RU"/>
        </w:rPr>
        <w:t>Шибико</w:t>
      </w:r>
      <w:proofErr w:type="spellEnd"/>
      <w:r>
        <w:rPr>
          <w:sz w:val="24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 6. </w:t>
      </w:r>
      <w:proofErr w:type="gramStart"/>
      <w:r>
        <w:rPr>
          <w:sz w:val="24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8"/>
        </w:rPr>
        <w:t>12 месяцев 2021 года</w:t>
      </w:r>
      <w:r>
        <w:rPr>
          <w:sz w:val="24"/>
          <w:szCs w:val="28"/>
          <w:lang w:eastAsia="ru-RU"/>
        </w:rPr>
        <w:t>»  (</w:t>
      </w:r>
      <w:proofErr w:type="spellStart"/>
      <w:r>
        <w:rPr>
          <w:sz w:val="24"/>
          <w:szCs w:val="28"/>
          <w:lang w:eastAsia="ru-RU"/>
        </w:rPr>
        <w:t>Гермоненко</w:t>
      </w:r>
      <w:proofErr w:type="spellEnd"/>
      <w:r>
        <w:rPr>
          <w:sz w:val="24"/>
          <w:szCs w:val="28"/>
          <w:lang w:eastAsia="ru-RU"/>
        </w:rPr>
        <w:t xml:space="preserve"> Е.В.)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>
        <w:rPr>
          <w:sz w:val="24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>
        <w:rPr>
          <w:sz w:val="24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2021 года</w:t>
      </w:r>
      <w:r>
        <w:rPr>
          <w:sz w:val="24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Глава Семейского </w:t>
      </w:r>
    </w:p>
    <w:p w:rsidR="004F0BFA" w:rsidRDefault="004F0BFA" w:rsidP="004F0BFA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сельского поселения                                                            </w:t>
      </w:r>
      <w:proofErr w:type="spellStart"/>
      <w:r>
        <w:rPr>
          <w:sz w:val="24"/>
          <w:szCs w:val="28"/>
          <w:lang w:eastAsia="ru-RU"/>
        </w:rPr>
        <w:t>Е.В.Гермоненко</w:t>
      </w:r>
      <w:proofErr w:type="spellEnd"/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25.02.2022г. №64</w:t>
      </w: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4F0BFA" w:rsidRDefault="004F0BFA" w:rsidP="004F0BFA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4F0BFA" w:rsidRDefault="004F0BFA" w:rsidP="004F0BFA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НАРОДНЫХ ДЕПУТАТОВ </w:t>
      </w:r>
    </w:p>
    <w:p w:rsidR="004F0BFA" w:rsidRDefault="004F0BFA" w:rsidP="004F0BFA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СЕМЕЙСКОГО СЕЛЬСКОГО ПОСЕЛЕНИЯ </w:t>
      </w:r>
    </w:p>
    <w:p w:rsidR="004F0BFA" w:rsidRDefault="004F0BFA" w:rsidP="004F0BFA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ПОДГОРЕНСКОГО МУНИЦИПАЛЬНОГО РАЙОНА </w:t>
      </w:r>
    </w:p>
    <w:p w:rsidR="004F0BFA" w:rsidRDefault="004F0BFA" w:rsidP="004F0BFA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4F0BFA" w:rsidRDefault="004F0BFA" w:rsidP="004F0BFA">
      <w:pPr>
        <w:rPr>
          <w:sz w:val="24"/>
          <w:szCs w:val="24"/>
        </w:rPr>
      </w:pPr>
    </w:p>
    <w:p w:rsidR="004F0BFA" w:rsidRDefault="004F0BFA" w:rsidP="004F0BFA">
      <w:pPr>
        <w:ind w:firstLine="851"/>
        <w:jc w:val="center"/>
        <w:rPr>
          <w:sz w:val="24"/>
          <w:szCs w:val="24"/>
        </w:rPr>
      </w:pPr>
    </w:p>
    <w:p w:rsidR="004F0BFA" w:rsidRDefault="004F0BFA" w:rsidP="004F0BFA">
      <w:pPr>
        <w:ind w:firstLine="85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4F0BFA" w:rsidRDefault="004F0BFA" w:rsidP="004F0BFA">
      <w:pPr>
        <w:ind w:firstLine="851"/>
        <w:jc w:val="center"/>
        <w:rPr>
          <w:b/>
          <w:sz w:val="24"/>
          <w:szCs w:val="24"/>
        </w:rPr>
      </w:pPr>
    </w:p>
    <w:p w:rsidR="004F0BFA" w:rsidRDefault="004F0BFA" w:rsidP="004F0BFA">
      <w:pPr>
        <w:rPr>
          <w:sz w:val="24"/>
          <w:szCs w:val="24"/>
        </w:rPr>
      </w:pPr>
    </w:p>
    <w:p w:rsidR="004F0BFA" w:rsidRDefault="004F0BFA" w:rsidP="004F0BF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                2021 года №</w:t>
      </w:r>
    </w:p>
    <w:p w:rsidR="004F0BFA" w:rsidRDefault="004F0BFA" w:rsidP="004F0BF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Семейка</w:t>
      </w:r>
    </w:p>
    <w:p w:rsidR="004F0BFA" w:rsidRDefault="004F0BFA" w:rsidP="004F0BFA">
      <w:pPr>
        <w:jc w:val="both"/>
        <w:rPr>
          <w:sz w:val="24"/>
          <w:szCs w:val="24"/>
        </w:rPr>
      </w:pPr>
    </w:p>
    <w:p w:rsidR="004F0BFA" w:rsidRPr="004F0BFA" w:rsidRDefault="004F0BFA" w:rsidP="004F0BFA">
      <w:pPr>
        <w:jc w:val="both"/>
        <w:rPr>
          <w:sz w:val="26"/>
          <w:szCs w:val="26"/>
        </w:rPr>
      </w:pPr>
      <w:r w:rsidRPr="004F0BFA">
        <w:rPr>
          <w:sz w:val="26"/>
          <w:szCs w:val="26"/>
        </w:rPr>
        <w:t xml:space="preserve">Об утверждении отчета об исполнении </w:t>
      </w:r>
    </w:p>
    <w:p w:rsidR="004F0BFA" w:rsidRPr="004F0BFA" w:rsidRDefault="004F0BFA" w:rsidP="004F0BFA">
      <w:pPr>
        <w:jc w:val="both"/>
        <w:rPr>
          <w:sz w:val="26"/>
          <w:szCs w:val="26"/>
        </w:rPr>
      </w:pPr>
      <w:r w:rsidRPr="004F0BFA">
        <w:rPr>
          <w:sz w:val="26"/>
          <w:szCs w:val="26"/>
        </w:rPr>
        <w:t xml:space="preserve">бюджета Семейского сельского </w:t>
      </w:r>
    </w:p>
    <w:p w:rsidR="004F0BFA" w:rsidRPr="004F0BFA" w:rsidRDefault="004F0BFA" w:rsidP="004F0BFA">
      <w:pPr>
        <w:jc w:val="both"/>
        <w:rPr>
          <w:sz w:val="26"/>
          <w:szCs w:val="26"/>
        </w:rPr>
      </w:pPr>
      <w:r w:rsidRPr="004F0BFA">
        <w:rPr>
          <w:sz w:val="26"/>
          <w:szCs w:val="26"/>
        </w:rPr>
        <w:t xml:space="preserve">поселения Подгоренского </w:t>
      </w:r>
    </w:p>
    <w:p w:rsidR="004F0BFA" w:rsidRPr="004F0BFA" w:rsidRDefault="004F0BFA" w:rsidP="004F0BFA">
      <w:pPr>
        <w:jc w:val="both"/>
        <w:rPr>
          <w:sz w:val="26"/>
          <w:szCs w:val="26"/>
        </w:rPr>
      </w:pPr>
      <w:r w:rsidRPr="004F0BFA">
        <w:rPr>
          <w:sz w:val="26"/>
          <w:szCs w:val="26"/>
        </w:rPr>
        <w:t xml:space="preserve">муниципального района </w:t>
      </w:r>
    </w:p>
    <w:p w:rsidR="004F0BFA" w:rsidRPr="004F0BFA" w:rsidRDefault="004F0BFA" w:rsidP="004F0BFA">
      <w:pPr>
        <w:jc w:val="both"/>
        <w:rPr>
          <w:sz w:val="26"/>
          <w:szCs w:val="26"/>
        </w:rPr>
      </w:pPr>
      <w:r w:rsidRPr="004F0BFA">
        <w:rPr>
          <w:sz w:val="26"/>
          <w:szCs w:val="26"/>
        </w:rPr>
        <w:t>за 12 месяцев 2021 года.</w:t>
      </w:r>
    </w:p>
    <w:p w:rsidR="004F0BFA" w:rsidRPr="004F0BFA" w:rsidRDefault="004F0BFA" w:rsidP="004F0BFA">
      <w:pPr>
        <w:rPr>
          <w:sz w:val="26"/>
          <w:szCs w:val="26"/>
        </w:rPr>
      </w:pPr>
    </w:p>
    <w:p w:rsidR="004F0BFA" w:rsidRPr="004F0BFA" w:rsidRDefault="004F0BFA" w:rsidP="004F0BFA">
      <w:pPr>
        <w:rPr>
          <w:sz w:val="26"/>
          <w:szCs w:val="26"/>
        </w:rPr>
      </w:pPr>
    </w:p>
    <w:p w:rsidR="004F0BFA" w:rsidRPr="004F0BFA" w:rsidRDefault="004F0BFA" w:rsidP="004F0BFA">
      <w:pPr>
        <w:ind w:firstLine="720"/>
        <w:jc w:val="both"/>
        <w:rPr>
          <w:sz w:val="26"/>
          <w:szCs w:val="26"/>
        </w:rPr>
      </w:pPr>
      <w:r w:rsidRPr="004F0BFA">
        <w:rPr>
          <w:sz w:val="26"/>
          <w:szCs w:val="26"/>
        </w:rPr>
        <w:t>Бюджет Семейского сельского поселения за 12 месяцев 2021 года исполнен по доходам в сумме 6 466 509,61</w:t>
      </w:r>
      <w:r w:rsidRPr="004F0BFA">
        <w:rPr>
          <w:bCs/>
          <w:sz w:val="26"/>
          <w:szCs w:val="26"/>
        </w:rPr>
        <w:t xml:space="preserve"> </w:t>
      </w:r>
      <w:r w:rsidRPr="004F0BFA">
        <w:rPr>
          <w:sz w:val="26"/>
          <w:szCs w:val="26"/>
        </w:rPr>
        <w:t>рублей, что составляет 98,9</w:t>
      </w:r>
      <w:r w:rsidRPr="004F0BFA">
        <w:rPr>
          <w:bCs/>
          <w:sz w:val="26"/>
          <w:szCs w:val="26"/>
        </w:rPr>
        <w:t>%</w:t>
      </w:r>
      <w:r w:rsidRPr="004F0BFA">
        <w:rPr>
          <w:sz w:val="26"/>
          <w:szCs w:val="26"/>
        </w:rPr>
        <w:t xml:space="preserve"> от уточненного плана:</w:t>
      </w:r>
    </w:p>
    <w:p w:rsidR="004F0BFA" w:rsidRPr="004F0BFA" w:rsidRDefault="004F0BFA" w:rsidP="004F0BFA">
      <w:pPr>
        <w:ind w:firstLine="708"/>
        <w:jc w:val="both"/>
        <w:rPr>
          <w:sz w:val="26"/>
          <w:szCs w:val="26"/>
        </w:rPr>
      </w:pPr>
      <w:r w:rsidRPr="004F0BFA">
        <w:rPr>
          <w:sz w:val="26"/>
          <w:szCs w:val="26"/>
        </w:rPr>
        <w:t>- налог на доходы физических лиц 100,5%, что в абсолютном выражении составляет 3717,65руб.;</w:t>
      </w:r>
    </w:p>
    <w:p w:rsidR="004F0BFA" w:rsidRPr="004F0BFA" w:rsidRDefault="004F0BFA" w:rsidP="004F0BFA">
      <w:pPr>
        <w:ind w:firstLine="708"/>
        <w:jc w:val="both"/>
        <w:rPr>
          <w:sz w:val="26"/>
          <w:szCs w:val="26"/>
        </w:rPr>
      </w:pPr>
      <w:r w:rsidRPr="004F0BFA">
        <w:rPr>
          <w:sz w:val="26"/>
          <w:szCs w:val="26"/>
        </w:rPr>
        <w:t>- налог на имущество физических лиц 100,8% в абсолютном выражении на 1 058,79 руб.;</w:t>
      </w:r>
    </w:p>
    <w:p w:rsidR="004F0BFA" w:rsidRPr="004F0BFA" w:rsidRDefault="004F0BFA" w:rsidP="004F0BFA">
      <w:pPr>
        <w:ind w:firstLine="708"/>
        <w:jc w:val="both"/>
        <w:rPr>
          <w:sz w:val="26"/>
          <w:szCs w:val="26"/>
        </w:rPr>
      </w:pPr>
      <w:r w:rsidRPr="004F0BFA">
        <w:rPr>
          <w:sz w:val="26"/>
          <w:szCs w:val="26"/>
        </w:rPr>
        <w:t>- земельный налог 100,0% в абсолютном выражении 1 083 633,28 руб.;</w:t>
      </w:r>
    </w:p>
    <w:p w:rsidR="004F0BFA" w:rsidRPr="004F0BFA" w:rsidRDefault="004F0BFA" w:rsidP="004F0BFA">
      <w:pPr>
        <w:ind w:firstLine="708"/>
        <w:jc w:val="both"/>
        <w:rPr>
          <w:sz w:val="26"/>
          <w:szCs w:val="26"/>
        </w:rPr>
      </w:pPr>
      <w:r w:rsidRPr="004F0BFA">
        <w:rPr>
          <w:sz w:val="26"/>
          <w:szCs w:val="26"/>
        </w:rPr>
        <w:t>- госпошлина 20% в абсолютном выражении 200,00 руб.;</w:t>
      </w:r>
    </w:p>
    <w:p w:rsidR="004F0BFA" w:rsidRPr="004F0BFA" w:rsidRDefault="004F0BFA" w:rsidP="004F0BFA">
      <w:pPr>
        <w:ind w:firstLine="709"/>
        <w:jc w:val="both"/>
        <w:rPr>
          <w:sz w:val="26"/>
          <w:szCs w:val="26"/>
        </w:rPr>
      </w:pPr>
      <w:r w:rsidRPr="004F0BFA">
        <w:rPr>
          <w:sz w:val="26"/>
          <w:szCs w:val="26"/>
        </w:rPr>
        <w:tab/>
        <w:t>Поступление неналоговых доходов 99,2%, в абсолютном выражении 52 596,38 руб., в том числе:</w:t>
      </w:r>
    </w:p>
    <w:p w:rsidR="004F0BFA" w:rsidRPr="004F0BFA" w:rsidRDefault="004F0BFA" w:rsidP="004F0BFA">
      <w:pPr>
        <w:ind w:firstLine="708"/>
        <w:jc w:val="both"/>
        <w:rPr>
          <w:sz w:val="26"/>
          <w:szCs w:val="26"/>
        </w:rPr>
      </w:pPr>
      <w:r w:rsidRPr="004F0BFA">
        <w:rPr>
          <w:sz w:val="26"/>
          <w:szCs w:val="26"/>
        </w:rPr>
        <w:t>- доходы от арендной платы за земли после разграничения государственной собственности на землю 99,2% в абсолютном выражении 52 596,38 руб.;</w:t>
      </w:r>
    </w:p>
    <w:p w:rsidR="004F0BFA" w:rsidRPr="004F0BFA" w:rsidRDefault="004F0BFA" w:rsidP="004F0BFA">
      <w:pPr>
        <w:ind w:firstLine="720"/>
        <w:jc w:val="both"/>
        <w:rPr>
          <w:sz w:val="26"/>
          <w:szCs w:val="26"/>
        </w:rPr>
      </w:pPr>
      <w:r w:rsidRPr="004F0BFA">
        <w:rPr>
          <w:sz w:val="26"/>
          <w:szCs w:val="26"/>
        </w:rPr>
        <w:t>Бюджет Семейского сельского поселения за 12 месяцев 2021 год исполнен по расходам в сумме 5 570 027,33 рублей, или 87,9</w:t>
      </w:r>
      <w:r w:rsidRPr="004F0BFA">
        <w:rPr>
          <w:bCs/>
          <w:sz w:val="26"/>
          <w:szCs w:val="26"/>
        </w:rPr>
        <w:t>%</w:t>
      </w:r>
      <w:r w:rsidRPr="004F0BFA">
        <w:rPr>
          <w:sz w:val="26"/>
          <w:szCs w:val="26"/>
        </w:rPr>
        <w:t xml:space="preserve"> к уточненному годовому  плану.</w:t>
      </w:r>
    </w:p>
    <w:p w:rsidR="004F0BFA" w:rsidRPr="004F0BFA" w:rsidRDefault="004F0BFA" w:rsidP="004F0BFA">
      <w:pPr>
        <w:jc w:val="both"/>
        <w:rPr>
          <w:sz w:val="26"/>
          <w:szCs w:val="26"/>
        </w:rPr>
      </w:pPr>
      <w:r w:rsidRPr="004F0BFA">
        <w:rPr>
          <w:sz w:val="26"/>
          <w:szCs w:val="26"/>
        </w:rPr>
        <w:tab/>
        <w:t xml:space="preserve">Расходы на общегосударственные вопросы исполнены на 99,5% к уточненному плану, в абсолютном выражении 1 471 884,96 </w:t>
      </w:r>
      <w:r w:rsidRPr="004F0BFA">
        <w:rPr>
          <w:color w:val="000000"/>
          <w:sz w:val="26"/>
          <w:szCs w:val="26"/>
        </w:rPr>
        <w:t>руб</w:t>
      </w:r>
      <w:r w:rsidRPr="004F0BFA">
        <w:rPr>
          <w:sz w:val="26"/>
          <w:szCs w:val="26"/>
        </w:rPr>
        <w:t>.;</w:t>
      </w:r>
    </w:p>
    <w:p w:rsidR="004F0BFA" w:rsidRPr="004F0BFA" w:rsidRDefault="004F0BFA" w:rsidP="004F0BFA">
      <w:pPr>
        <w:jc w:val="both"/>
        <w:rPr>
          <w:sz w:val="26"/>
          <w:szCs w:val="26"/>
        </w:rPr>
      </w:pPr>
      <w:r w:rsidRPr="004F0BFA">
        <w:rPr>
          <w:sz w:val="26"/>
          <w:szCs w:val="26"/>
        </w:rPr>
        <w:tab/>
        <w:t>Расходы на благоустройство территории населенных пунктов исполнены на 100,0% к уточненному плану, в абсолютном выражении 323 554,22 рублей;</w:t>
      </w:r>
    </w:p>
    <w:p w:rsidR="004F0BFA" w:rsidRPr="004F0BFA" w:rsidRDefault="004F0BFA" w:rsidP="004F0BFA">
      <w:pPr>
        <w:jc w:val="both"/>
        <w:rPr>
          <w:sz w:val="26"/>
          <w:szCs w:val="26"/>
        </w:rPr>
      </w:pPr>
      <w:r w:rsidRPr="004F0BFA">
        <w:rPr>
          <w:sz w:val="26"/>
          <w:szCs w:val="26"/>
        </w:rPr>
        <w:tab/>
        <w:t xml:space="preserve">Расходы на ВУС исполнены на 100,0% в абсолютном выражении 90 600,00 руб.; </w:t>
      </w:r>
    </w:p>
    <w:p w:rsidR="004F0BFA" w:rsidRPr="004F0BFA" w:rsidRDefault="004F0BFA" w:rsidP="004F0BFA">
      <w:pPr>
        <w:jc w:val="both"/>
        <w:rPr>
          <w:sz w:val="26"/>
          <w:szCs w:val="26"/>
        </w:rPr>
      </w:pPr>
      <w:r w:rsidRPr="004F0BFA">
        <w:rPr>
          <w:sz w:val="26"/>
          <w:szCs w:val="26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4F0BFA" w:rsidRPr="004F0BFA" w:rsidRDefault="004F0BFA" w:rsidP="004F0BFA">
      <w:pPr>
        <w:ind w:firstLine="709"/>
        <w:jc w:val="both"/>
        <w:rPr>
          <w:sz w:val="26"/>
          <w:szCs w:val="26"/>
        </w:rPr>
      </w:pPr>
      <w:r w:rsidRPr="004F0BFA">
        <w:rPr>
          <w:sz w:val="26"/>
          <w:szCs w:val="26"/>
        </w:rPr>
        <w:lastRenderedPageBreak/>
        <w:t xml:space="preserve">Расходы на национальную экономику исполнены на 81,1% в абсолютном выражении 3 241 234,39 руб.; </w:t>
      </w:r>
    </w:p>
    <w:p w:rsidR="004F0BFA" w:rsidRPr="004F0BFA" w:rsidRDefault="004F0BFA" w:rsidP="004F0BFA">
      <w:pPr>
        <w:ind w:firstLine="709"/>
        <w:jc w:val="both"/>
        <w:rPr>
          <w:sz w:val="26"/>
          <w:szCs w:val="26"/>
        </w:rPr>
      </w:pPr>
      <w:r w:rsidRPr="004F0BFA">
        <w:rPr>
          <w:sz w:val="26"/>
          <w:szCs w:val="26"/>
        </w:rPr>
        <w:t>Расходы на  межбюджетные трансферты культуре исполнены на 100,0% в абсолютном выражении 370 220,00 руб.</w:t>
      </w:r>
    </w:p>
    <w:p w:rsidR="004F0BFA" w:rsidRPr="004F0BFA" w:rsidRDefault="004F0BFA" w:rsidP="004F0BFA">
      <w:pPr>
        <w:ind w:firstLine="709"/>
        <w:jc w:val="both"/>
        <w:rPr>
          <w:sz w:val="26"/>
          <w:szCs w:val="26"/>
        </w:rPr>
      </w:pPr>
      <w:r w:rsidRPr="004F0BFA">
        <w:rPr>
          <w:sz w:val="26"/>
          <w:szCs w:val="26"/>
        </w:rPr>
        <w:t>Расхода на социальную политику исполнены на 100,0% в абсолютном выражении 72533,76 руб.</w:t>
      </w:r>
    </w:p>
    <w:p w:rsidR="004F0BFA" w:rsidRPr="004F0BFA" w:rsidRDefault="004F0BFA" w:rsidP="004F0BFA">
      <w:pPr>
        <w:ind w:firstLine="709"/>
        <w:jc w:val="both"/>
        <w:rPr>
          <w:sz w:val="26"/>
          <w:szCs w:val="26"/>
        </w:rPr>
      </w:pPr>
      <w:r w:rsidRPr="004F0BFA">
        <w:rPr>
          <w:sz w:val="26"/>
          <w:szCs w:val="26"/>
        </w:rPr>
        <w:t>Рассмотрев отчёт об исполнении бюджета Семейского сельского поселения за 12 месяцев  2021 года по доходам в сумме 6 396 251,45</w:t>
      </w:r>
      <w:r w:rsidRPr="004F0BFA">
        <w:rPr>
          <w:bCs/>
          <w:sz w:val="26"/>
          <w:szCs w:val="26"/>
        </w:rPr>
        <w:t xml:space="preserve"> рублей</w:t>
      </w:r>
      <w:r w:rsidRPr="004F0BFA">
        <w:rPr>
          <w:sz w:val="26"/>
          <w:szCs w:val="26"/>
        </w:rPr>
        <w:t xml:space="preserve"> и по расходам в сумме 5 570 027,33</w:t>
      </w:r>
      <w:r w:rsidRPr="004F0BFA">
        <w:rPr>
          <w:bCs/>
          <w:sz w:val="26"/>
          <w:szCs w:val="26"/>
        </w:rPr>
        <w:t xml:space="preserve"> рублей,</w:t>
      </w:r>
      <w:r w:rsidRPr="004F0BFA">
        <w:rPr>
          <w:sz w:val="26"/>
          <w:szCs w:val="26"/>
        </w:rPr>
        <w:t xml:space="preserve"> Совет народных депутатов Семейского сельского поселения.</w:t>
      </w:r>
    </w:p>
    <w:p w:rsidR="004F0BFA" w:rsidRPr="004F0BFA" w:rsidRDefault="004F0BFA" w:rsidP="004F0BFA">
      <w:pPr>
        <w:jc w:val="center"/>
        <w:rPr>
          <w:sz w:val="26"/>
          <w:szCs w:val="26"/>
        </w:rPr>
      </w:pPr>
    </w:p>
    <w:p w:rsidR="004F0BFA" w:rsidRPr="004F0BFA" w:rsidRDefault="004F0BFA" w:rsidP="004F0BFA">
      <w:pPr>
        <w:jc w:val="center"/>
        <w:rPr>
          <w:b/>
          <w:sz w:val="26"/>
          <w:szCs w:val="26"/>
        </w:rPr>
      </w:pPr>
      <w:r w:rsidRPr="004F0BFA">
        <w:rPr>
          <w:b/>
          <w:sz w:val="26"/>
          <w:szCs w:val="26"/>
        </w:rPr>
        <w:t>РЕШИЛ:</w:t>
      </w:r>
    </w:p>
    <w:p w:rsidR="004F0BFA" w:rsidRPr="004F0BFA" w:rsidRDefault="004F0BFA" w:rsidP="004F0BFA">
      <w:pPr>
        <w:jc w:val="both"/>
        <w:rPr>
          <w:sz w:val="26"/>
          <w:szCs w:val="26"/>
        </w:rPr>
      </w:pPr>
    </w:p>
    <w:p w:rsidR="004F0BFA" w:rsidRPr="004F0BFA" w:rsidRDefault="004F0BFA" w:rsidP="004F0BFA">
      <w:pPr>
        <w:numPr>
          <w:ilvl w:val="0"/>
          <w:numId w:val="2"/>
        </w:numPr>
        <w:jc w:val="both"/>
        <w:rPr>
          <w:sz w:val="26"/>
          <w:szCs w:val="26"/>
        </w:rPr>
      </w:pPr>
      <w:r w:rsidRPr="004F0BFA">
        <w:rPr>
          <w:sz w:val="26"/>
          <w:szCs w:val="26"/>
        </w:rPr>
        <w:t>Утвердить отчёт об исполнении бюджета Семейского сельского поселения за 12 месяцев 2021 года.</w:t>
      </w:r>
    </w:p>
    <w:p w:rsidR="004F0BFA" w:rsidRPr="004F0BFA" w:rsidRDefault="004F0BFA" w:rsidP="004F0BFA">
      <w:pPr>
        <w:numPr>
          <w:ilvl w:val="0"/>
          <w:numId w:val="2"/>
        </w:numPr>
        <w:jc w:val="both"/>
        <w:rPr>
          <w:sz w:val="26"/>
          <w:szCs w:val="26"/>
        </w:rPr>
      </w:pPr>
      <w:r w:rsidRPr="004F0BFA">
        <w:rPr>
          <w:sz w:val="26"/>
          <w:szCs w:val="26"/>
        </w:rPr>
        <w:t>Настоящее решение подлежит обнародованию.</w:t>
      </w:r>
    </w:p>
    <w:p w:rsidR="004F0BFA" w:rsidRPr="004F0BFA" w:rsidRDefault="004F0BFA" w:rsidP="004F0BFA">
      <w:pPr>
        <w:ind w:left="720"/>
        <w:jc w:val="both"/>
        <w:rPr>
          <w:sz w:val="26"/>
          <w:szCs w:val="26"/>
        </w:rPr>
      </w:pPr>
    </w:p>
    <w:p w:rsidR="004F0BFA" w:rsidRPr="004F0BFA" w:rsidRDefault="004F0BFA" w:rsidP="004F0BFA">
      <w:pPr>
        <w:ind w:firstLine="720"/>
        <w:jc w:val="both"/>
        <w:rPr>
          <w:sz w:val="26"/>
          <w:szCs w:val="26"/>
        </w:rPr>
      </w:pPr>
    </w:p>
    <w:p w:rsidR="004F0BFA" w:rsidRPr="004F0BFA" w:rsidRDefault="004F0BFA" w:rsidP="004F0BFA">
      <w:pPr>
        <w:ind w:firstLine="720"/>
        <w:jc w:val="both"/>
        <w:rPr>
          <w:sz w:val="26"/>
          <w:szCs w:val="26"/>
        </w:rPr>
      </w:pPr>
    </w:p>
    <w:p w:rsidR="004F0BFA" w:rsidRPr="004F0BFA" w:rsidRDefault="004F0BFA" w:rsidP="004F0BFA">
      <w:pPr>
        <w:ind w:firstLine="720"/>
        <w:jc w:val="both"/>
        <w:rPr>
          <w:sz w:val="26"/>
          <w:szCs w:val="26"/>
        </w:rPr>
      </w:pPr>
    </w:p>
    <w:p w:rsidR="004F0BFA" w:rsidRPr="004F0BFA" w:rsidRDefault="004F0BFA" w:rsidP="004F0BFA">
      <w:pPr>
        <w:ind w:firstLine="720"/>
        <w:jc w:val="both"/>
        <w:rPr>
          <w:sz w:val="26"/>
          <w:szCs w:val="26"/>
        </w:rPr>
      </w:pPr>
    </w:p>
    <w:p w:rsidR="004F0BFA" w:rsidRDefault="004F0BFA" w:rsidP="004F0BFA">
      <w:pPr>
        <w:ind w:hanging="567"/>
        <w:jc w:val="both"/>
        <w:rPr>
          <w:sz w:val="26"/>
          <w:szCs w:val="26"/>
        </w:rPr>
      </w:pPr>
      <w:r w:rsidRPr="004F0BFA">
        <w:rPr>
          <w:sz w:val="26"/>
          <w:szCs w:val="26"/>
        </w:rPr>
        <w:t xml:space="preserve">         Глава Семейского </w:t>
      </w:r>
    </w:p>
    <w:p w:rsidR="004F0BFA" w:rsidRPr="004F0BFA" w:rsidRDefault="004F0BFA" w:rsidP="004F0BFA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F0BFA">
        <w:rPr>
          <w:sz w:val="26"/>
          <w:szCs w:val="26"/>
        </w:rPr>
        <w:t xml:space="preserve">сельского поселения                                   </w:t>
      </w:r>
      <w:r>
        <w:rPr>
          <w:sz w:val="26"/>
          <w:szCs w:val="26"/>
        </w:rPr>
        <w:t xml:space="preserve">                         </w:t>
      </w:r>
      <w:r w:rsidRPr="004F0BFA">
        <w:rPr>
          <w:sz w:val="26"/>
          <w:szCs w:val="26"/>
        </w:rPr>
        <w:t xml:space="preserve">            Е.В. </w:t>
      </w:r>
      <w:proofErr w:type="spellStart"/>
      <w:r w:rsidRPr="004F0BFA">
        <w:rPr>
          <w:sz w:val="26"/>
          <w:szCs w:val="26"/>
        </w:rPr>
        <w:t>Гермоненко</w:t>
      </w:r>
      <w:proofErr w:type="spellEnd"/>
    </w:p>
    <w:p w:rsidR="004F0BFA" w:rsidRDefault="004F0BFA" w:rsidP="004F0BFA">
      <w:pPr>
        <w:jc w:val="both"/>
        <w:rPr>
          <w:sz w:val="24"/>
          <w:szCs w:val="24"/>
        </w:rPr>
      </w:pPr>
    </w:p>
    <w:p w:rsidR="00D27595" w:rsidRDefault="00D27595"/>
    <w:p w:rsidR="004F0BFA" w:rsidRDefault="004F0BFA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/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от               </w:t>
      </w:r>
      <w:proofErr w:type="gramStart"/>
      <w:r>
        <w:rPr>
          <w:rFonts w:eastAsia="Andale Sans UI" w:cs="Tahoma"/>
          <w:kern w:val="3"/>
          <w:sz w:val="24"/>
          <w:szCs w:val="28"/>
          <w:lang w:eastAsia="ja-JP" w:bidi="fa-IR"/>
        </w:rPr>
        <w:t>г</w:t>
      </w:r>
      <w:proofErr w:type="gramEnd"/>
      <w:r>
        <w:rPr>
          <w:rFonts w:eastAsia="Andale Sans UI" w:cs="Tahoma"/>
          <w:kern w:val="3"/>
          <w:sz w:val="24"/>
          <w:szCs w:val="28"/>
          <w:lang w:eastAsia="ja-JP" w:bidi="fa-IR"/>
        </w:rPr>
        <w:t>. №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307" w:type="dxa"/>
        <w:tblInd w:w="-318" w:type="dxa"/>
        <w:tblLook w:val="04A0" w:firstRow="1" w:lastRow="0" w:firstColumn="1" w:lastColumn="0" w:noHBand="0" w:noVBand="1"/>
      </w:tblPr>
      <w:tblGrid>
        <w:gridCol w:w="2836"/>
        <w:gridCol w:w="3260"/>
        <w:gridCol w:w="1440"/>
        <w:gridCol w:w="1420"/>
        <w:gridCol w:w="1351"/>
      </w:tblGrid>
      <w:tr w:rsidR="00A06931" w:rsidRPr="00A06931" w:rsidTr="00A06931">
        <w:trPr>
          <w:trHeight w:val="285"/>
        </w:trPr>
        <w:tc>
          <w:tcPr>
            <w:tcW w:w="8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06931"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06931" w:rsidRPr="00A06931" w:rsidTr="00A06931">
        <w:trPr>
          <w:trHeight w:val="285"/>
        </w:trPr>
        <w:tc>
          <w:tcPr>
            <w:tcW w:w="8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06931"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06931" w:rsidRPr="00A06931" w:rsidTr="00A06931">
        <w:trPr>
          <w:trHeight w:val="300"/>
        </w:trPr>
        <w:tc>
          <w:tcPr>
            <w:tcW w:w="8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06931">
              <w:rPr>
                <w:b/>
                <w:bCs/>
                <w:sz w:val="24"/>
                <w:szCs w:val="24"/>
                <w:lang w:eastAsia="ru-RU"/>
              </w:rPr>
              <w:t>за 12 месяцев 2021 года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06931" w:rsidRPr="00A06931" w:rsidTr="00A06931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A06931" w:rsidRPr="00A06931" w:rsidTr="00A06931">
        <w:trPr>
          <w:trHeight w:val="25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Исполнено за 2021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A06931" w:rsidRPr="00A06931" w:rsidTr="00A06931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06931" w:rsidRPr="00A06931" w:rsidTr="00A06931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06931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A06931" w:rsidRPr="00A06931" w:rsidTr="00A06931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000  8  50  00000  00  0000  000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6 466 509,61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6 396 251,45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98,9</w:t>
            </w:r>
          </w:p>
        </w:tc>
      </w:tr>
      <w:tr w:rsidR="00A06931" w:rsidRPr="00A06931" w:rsidTr="00A06931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000  1  00  00000  00  0000  000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1141450,00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1 141 206,10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100,0</w:t>
            </w:r>
          </w:p>
        </w:tc>
      </w:tr>
      <w:tr w:rsidR="00A06931" w:rsidRPr="00A06931" w:rsidTr="00A06931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000  1  01  02000  01  0000  110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3700,00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3 717,65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100,5</w:t>
            </w:r>
          </w:p>
        </w:tc>
      </w:tr>
      <w:tr w:rsidR="00A06931" w:rsidRPr="00A06931" w:rsidTr="00A06931">
        <w:trPr>
          <w:trHeight w:val="7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000  1  01  02010  01  0000  110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3700,00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3 717,65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100,5</w:t>
            </w:r>
          </w:p>
        </w:tc>
      </w:tr>
      <w:tr w:rsidR="00A06931" w:rsidRPr="00A06931" w:rsidTr="00A06931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000  1  06  01000  00  0000  110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1050,00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1 058,79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100,8</w:t>
            </w:r>
          </w:p>
        </w:tc>
      </w:tr>
      <w:tr w:rsidR="00A06931" w:rsidRPr="00A06931" w:rsidTr="00A06931">
        <w:trPr>
          <w:trHeight w:val="40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000  1  06  06000  00  0000  110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1083500,00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1083633,28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100,0</w:t>
            </w:r>
          </w:p>
        </w:tc>
      </w:tr>
      <w:tr w:rsidR="00A06931" w:rsidRPr="00A06931" w:rsidTr="00A06931">
        <w:trPr>
          <w:trHeight w:val="49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000  1  06  06030  00  0000  110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728000,00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728 484,17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100,1</w:t>
            </w:r>
          </w:p>
        </w:tc>
      </w:tr>
      <w:tr w:rsidR="00A06931" w:rsidRPr="00A06931" w:rsidTr="00A06931">
        <w:trPr>
          <w:trHeight w:val="51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000  1  06  06040  00  0000  110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355500,00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355 149,11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99,9</w:t>
            </w:r>
          </w:p>
        </w:tc>
      </w:tr>
      <w:tr w:rsidR="00A06931" w:rsidRPr="00A06931" w:rsidTr="00A06931">
        <w:trPr>
          <w:trHeight w:val="37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000  1  08  00000  00  0000  000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100,0</w:t>
            </w:r>
          </w:p>
        </w:tc>
      </w:tr>
      <w:tr w:rsidR="00A06931" w:rsidRPr="00A06931" w:rsidTr="00A06931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000  1  11  00000  00  0000  000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53000,00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52 596,38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99,2</w:t>
            </w:r>
          </w:p>
        </w:tc>
      </w:tr>
      <w:tr w:rsidR="00A06931" w:rsidRPr="00A06931" w:rsidTr="00A06931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1  1  11  05020  00  0000  120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color w:val="000000"/>
                <w:lang w:eastAsia="ru-RU"/>
              </w:rPr>
              <w:t xml:space="preserve"> </w:t>
            </w:r>
            <w:r w:rsidRPr="00A06931">
              <w:rPr>
                <w:color w:val="000000"/>
                <w:lang w:eastAsia="ru-RU"/>
              </w:rPr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A06931">
              <w:rPr>
                <w:color w:val="000000"/>
                <w:lang w:eastAsia="ru-RU"/>
              </w:rPr>
              <w:t>в(</w:t>
            </w:r>
            <w:proofErr w:type="gramEnd"/>
            <w:r w:rsidRPr="00A06931">
              <w:rPr>
                <w:color w:val="000000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53000,00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52 596,38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99,2</w:t>
            </w:r>
          </w:p>
        </w:tc>
      </w:tr>
      <w:tr w:rsidR="00A06931" w:rsidRPr="00A06931" w:rsidTr="00A06931">
        <w:trPr>
          <w:trHeight w:val="50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lastRenderedPageBreak/>
              <w:t>000  2  00  00000  00  0000  000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5 325 059,61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5 255 045,35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98,7</w:t>
            </w:r>
          </w:p>
        </w:tc>
      </w:tr>
      <w:tr w:rsidR="00A06931" w:rsidRPr="00A06931" w:rsidTr="00A06931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000  2  02  00000  00  0000  000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5 315 059,61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5 245 045,35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98,7</w:t>
            </w:r>
          </w:p>
        </w:tc>
      </w:tr>
      <w:tr w:rsidR="00A06931" w:rsidRPr="00A06931" w:rsidTr="00A06931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000  2  02  01000  00  0000  150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212 000,00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212 000,00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100,0</w:t>
            </w:r>
          </w:p>
        </w:tc>
      </w:tr>
      <w:tr w:rsidR="00A06931" w:rsidRPr="00A06931" w:rsidTr="00A06931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75 200,00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75 200,00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100,0</w:t>
            </w:r>
          </w:p>
        </w:tc>
      </w:tr>
      <w:tr w:rsidR="00A06931" w:rsidRPr="00A06931" w:rsidTr="00A06931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000  2  02  16001  00  0000  150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136 800,00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136 800,00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100,0</w:t>
            </w:r>
          </w:p>
        </w:tc>
      </w:tr>
      <w:tr w:rsidR="00A06931" w:rsidRPr="00A06931" w:rsidTr="00A06931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000  2  02  03000  00  0000  150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100,0</w:t>
            </w:r>
          </w:p>
        </w:tc>
      </w:tr>
      <w:tr w:rsidR="00A06931" w:rsidRPr="00A06931" w:rsidTr="00A06931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000  2  02  04000  00  0000  150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5012459,61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4942445,35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98,6</w:t>
            </w:r>
          </w:p>
        </w:tc>
      </w:tr>
      <w:tr w:rsidR="00A06931" w:rsidRPr="00A06931" w:rsidTr="00A06931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000  2  07  00000  00  0000  180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10000,0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06931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100,0</w:t>
            </w:r>
          </w:p>
        </w:tc>
      </w:tr>
      <w:tr w:rsidR="00A06931" w:rsidRPr="00A06931" w:rsidTr="00A06931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000  8  90  00000  00  0000  000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6466509,61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06931">
              <w:rPr>
                <w:b/>
                <w:bCs/>
                <w:color w:val="000000"/>
                <w:lang w:eastAsia="ru-RU"/>
              </w:rPr>
              <w:t>6396251,45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931" w:rsidRPr="00A06931" w:rsidRDefault="00A06931" w:rsidP="00A0693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06931">
              <w:rPr>
                <w:b/>
                <w:bCs/>
                <w:lang w:eastAsia="ru-RU"/>
              </w:rPr>
              <w:t>98,9</w:t>
            </w:r>
          </w:p>
        </w:tc>
      </w:tr>
    </w:tbl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№2 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от               </w:t>
      </w:r>
      <w:proofErr w:type="gramStart"/>
      <w:r>
        <w:rPr>
          <w:rFonts w:eastAsia="Andale Sans UI" w:cs="Tahoma"/>
          <w:kern w:val="3"/>
          <w:sz w:val="24"/>
          <w:szCs w:val="28"/>
          <w:lang w:eastAsia="ja-JP" w:bidi="fa-IR"/>
        </w:rPr>
        <w:t>г</w:t>
      </w:r>
      <w:proofErr w:type="gramEnd"/>
      <w:r>
        <w:rPr>
          <w:rFonts w:eastAsia="Andale Sans UI" w:cs="Tahoma"/>
          <w:kern w:val="3"/>
          <w:sz w:val="24"/>
          <w:szCs w:val="28"/>
          <w:lang w:eastAsia="ja-JP" w:bidi="fa-IR"/>
        </w:rPr>
        <w:t>. №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3402"/>
        <w:gridCol w:w="1136"/>
        <w:gridCol w:w="1197"/>
        <w:gridCol w:w="1211"/>
      </w:tblGrid>
      <w:tr w:rsidR="00A06931" w:rsidTr="00A06931">
        <w:trPr>
          <w:trHeight w:val="1046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931" w:rsidRDefault="00A069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Справка по исполнению бюджета Семейского   сельского поселения по расходам за 12 месяцев 2021 год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A06931" w:rsidRDefault="00A069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A06931" w:rsidRDefault="00A069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A06931" w:rsidRDefault="00A069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6931" w:rsidTr="00A06931">
        <w:trPr>
          <w:trHeight w:val="742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Код показателя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Уточненный план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Исполнено 2021 год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A06931" w:rsidTr="00A06931">
        <w:trPr>
          <w:trHeight w:val="434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000  9600  0000000  000  000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Расходы бюджета - ИТОГО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6 333 346,18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5 570 027,33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87,95</w:t>
            </w:r>
          </w:p>
        </w:tc>
      </w:tr>
      <w:tr w:rsidR="00A06931" w:rsidTr="00A06931">
        <w:trPr>
          <w:trHeight w:val="449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000  0100  0000000  000  000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1 478 850,46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1 471 884,96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99,53</w:t>
            </w:r>
          </w:p>
        </w:tc>
      </w:tr>
      <w:tr w:rsidR="00A06931" w:rsidTr="00A06931">
        <w:trPr>
          <w:trHeight w:val="538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000  0200  0000000  000  000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90 600,00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90 600,00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A06931" w:rsidTr="00A06931">
        <w:trPr>
          <w:trHeight w:val="406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000  0300  0000000  000  000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A06931" w:rsidTr="00A06931">
        <w:trPr>
          <w:trHeight w:val="509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000  0400  0000000  000  000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3 997 587,74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3 241 234,39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81,08</w:t>
            </w:r>
          </w:p>
        </w:tc>
      </w:tr>
      <w:tr w:rsidR="00A06931" w:rsidTr="00A06931">
        <w:trPr>
          <w:trHeight w:val="538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000  0500  0000000  000  000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323 554,22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323 554,22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A06931" w:rsidTr="00A06931">
        <w:trPr>
          <w:trHeight w:val="494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000  0800  0000000  000  000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370 220,00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370 220,00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A06931" w:rsidTr="00A06931">
        <w:trPr>
          <w:trHeight w:val="262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000  1000  0000000  000  000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06931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72 533,76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72 533,76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A06931" w:rsidTr="00A06931">
        <w:trPr>
          <w:trHeight w:val="420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000  1001  0000000  000  263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72 533,76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72 533,76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931" w:rsidRPr="00A06931" w:rsidRDefault="00A0693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06931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</w:tbl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jc w:val="right"/>
      </w:pP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№2 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25.02.2022г. №64</w:t>
      </w:r>
    </w:p>
    <w:p w:rsidR="00A06931" w:rsidRDefault="00A06931" w:rsidP="00A06931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06931" w:rsidRPr="00C9213C" w:rsidRDefault="00A06931" w:rsidP="00A06931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>Порядок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 xml:space="preserve"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b/>
          <w:sz w:val="24"/>
          <w:szCs w:val="24"/>
        </w:rPr>
        <w:t>12 месяцев 2021</w:t>
      </w:r>
      <w:r w:rsidRPr="00C9213C">
        <w:rPr>
          <w:b/>
          <w:sz w:val="24"/>
          <w:szCs w:val="24"/>
        </w:rPr>
        <w:t xml:space="preserve"> года</w:t>
      </w:r>
      <w:r w:rsidRPr="00C9213C">
        <w:rPr>
          <w:b/>
          <w:sz w:val="24"/>
          <w:szCs w:val="24"/>
          <w:lang w:eastAsia="ru-RU"/>
        </w:rPr>
        <w:t>», а также порядок участия граждан в его обсуждении</w:t>
      </w:r>
    </w:p>
    <w:p w:rsidR="00A06931" w:rsidRPr="00C9213C" w:rsidRDefault="00A06931" w:rsidP="00A06931">
      <w:pPr>
        <w:tabs>
          <w:tab w:val="left" w:pos="5257"/>
        </w:tabs>
        <w:suppressAutoHyphens w:val="0"/>
        <w:rPr>
          <w:sz w:val="24"/>
          <w:szCs w:val="24"/>
          <w:lang w:eastAsia="ru-RU"/>
        </w:rPr>
      </w:pP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 1. </w:t>
      </w:r>
      <w:proofErr w:type="gramStart"/>
      <w:r w:rsidRPr="00C9213C">
        <w:rPr>
          <w:sz w:val="24"/>
          <w:szCs w:val="24"/>
          <w:lang w:eastAsia="ru-RU"/>
        </w:rPr>
        <w:t>Настоящий порядок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муниципальног</w:t>
      </w:r>
      <w:r>
        <w:rPr>
          <w:sz w:val="24"/>
          <w:szCs w:val="24"/>
        </w:rPr>
        <w:t>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</w:t>
      </w:r>
      <w:proofErr w:type="gramEnd"/>
      <w:r w:rsidRPr="00C9213C">
        <w:rPr>
          <w:sz w:val="24"/>
          <w:szCs w:val="24"/>
        </w:rPr>
        <w:t xml:space="preserve">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регулирует правоотношения, возникающие при обсуждении указанного проекта  решения.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2. </w:t>
      </w:r>
      <w:proofErr w:type="gramStart"/>
      <w:r w:rsidRPr="00C9213C">
        <w:rPr>
          <w:sz w:val="24"/>
          <w:szCs w:val="24"/>
          <w:lang w:eastAsia="ru-RU"/>
        </w:rPr>
        <w:t>Правовую основу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 w:rsidRPr="00C9213C">
        <w:rPr>
          <w:sz w:val="24"/>
          <w:szCs w:val="24"/>
          <w:lang w:eastAsia="ru-RU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участвовать в его обсуждении имеют жители района.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4. Предложения по проекту решения могут подаваться в устной или письменной форме. 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</w:t>
      </w:r>
      <w:r>
        <w:rPr>
          <w:sz w:val="24"/>
          <w:szCs w:val="24"/>
        </w:rPr>
        <w:t>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 xml:space="preserve">Об утверждении отчета об исполнении бюджета Семейского сельского поселения </w:t>
      </w:r>
      <w:r w:rsidRPr="00C9213C">
        <w:rPr>
          <w:sz w:val="24"/>
          <w:szCs w:val="24"/>
        </w:rPr>
        <w:lastRenderedPageBreak/>
        <w:t>Подгоренс</w:t>
      </w:r>
      <w:r>
        <w:rPr>
          <w:sz w:val="24"/>
          <w:szCs w:val="24"/>
        </w:rPr>
        <w:t>кого муниципального района за 12 месяцев 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5. </w:t>
      </w:r>
      <w:proofErr w:type="gramStart"/>
      <w:r w:rsidRPr="00C9213C">
        <w:rPr>
          <w:sz w:val="24"/>
          <w:szCs w:val="24"/>
          <w:lang w:eastAsia="ru-RU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Поступившие предложения отклоняются, если: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 предложения регулируют вопросы, которые не могут регулироваться Уставом поселения.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6. Предложения по проекту решения принимаются с момента </w:t>
      </w:r>
      <w:proofErr w:type="gramStart"/>
      <w:r w:rsidRPr="00C9213C">
        <w:rPr>
          <w:sz w:val="24"/>
          <w:szCs w:val="24"/>
          <w:lang w:eastAsia="ru-RU"/>
        </w:rPr>
        <w:t>обнародования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по адресу: Воронежская область, Подгоренский район, с.Семейка, ул. Молодежная, 19 .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7. </w:t>
      </w:r>
      <w:proofErr w:type="gramStart"/>
      <w:r w:rsidRPr="00C9213C">
        <w:rPr>
          <w:sz w:val="24"/>
          <w:szCs w:val="24"/>
          <w:lang w:eastAsia="ru-RU"/>
        </w:rPr>
        <w:t xml:space="preserve">За 7 дней до даты рассмотрения Советом народных депутатов Семейского сельского поселения вопроса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4"/>
        </w:rPr>
        <w:t>12 месяцев</w:t>
      </w:r>
      <w:r w:rsidRPr="00C9213C">
        <w:rPr>
          <w:sz w:val="24"/>
          <w:szCs w:val="24"/>
        </w:rPr>
        <w:t xml:space="preserve"> 2020 года</w:t>
      </w:r>
      <w:r w:rsidRPr="00C9213C">
        <w:rPr>
          <w:sz w:val="24"/>
          <w:szCs w:val="24"/>
          <w:lang w:eastAsia="ru-RU"/>
        </w:rPr>
        <w:t>» прием  предложений по проекту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прекращается.</w:t>
      </w:r>
      <w:proofErr w:type="gramEnd"/>
      <w:r w:rsidRPr="00C9213C">
        <w:rPr>
          <w:sz w:val="24"/>
          <w:szCs w:val="24"/>
          <w:lang w:eastAsia="ru-RU"/>
        </w:rPr>
        <w:t xml:space="preserve"> Комиссия не позднее указанного срока вырабатывает окончательный вариант проекта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8. </w:t>
      </w:r>
      <w:proofErr w:type="gramStart"/>
      <w:r w:rsidRPr="00C9213C">
        <w:rPr>
          <w:sz w:val="24"/>
          <w:szCs w:val="24"/>
          <w:lang w:eastAsia="ru-RU"/>
        </w:rPr>
        <w:t>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или при заседании</w:t>
      </w:r>
      <w:proofErr w:type="gramEnd"/>
      <w:r w:rsidRPr="00C9213C">
        <w:rPr>
          <w:sz w:val="24"/>
          <w:szCs w:val="24"/>
          <w:lang w:eastAsia="ru-RU"/>
        </w:rPr>
        <w:t xml:space="preserve"> комиссии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 рассмотрении письменных предложений.</w:t>
      </w:r>
    </w:p>
    <w:p w:rsidR="00A06931" w:rsidRPr="00C9213C" w:rsidRDefault="00A06931" w:rsidP="00A06931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A06931" w:rsidRPr="00A06931" w:rsidRDefault="00A06931" w:rsidP="00A06931">
      <w:pPr>
        <w:tabs>
          <w:tab w:val="left" w:pos="5257"/>
        </w:tabs>
        <w:suppressAutoHyphens w:val="0"/>
        <w:jc w:val="both"/>
      </w:pPr>
      <w:r w:rsidRPr="00C9213C">
        <w:rPr>
          <w:sz w:val="24"/>
          <w:szCs w:val="24"/>
          <w:lang w:eastAsia="ru-RU"/>
        </w:rPr>
        <w:t xml:space="preserve">Принципами </w:t>
      </w:r>
      <w:proofErr w:type="gramStart"/>
      <w:r w:rsidRPr="00C9213C">
        <w:rPr>
          <w:sz w:val="24"/>
          <w:szCs w:val="24"/>
          <w:lang w:eastAsia="ru-RU"/>
        </w:rPr>
        <w:t>обсуждения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12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sectPr w:rsidR="00A06931" w:rsidRPr="00A0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C3"/>
    <w:rsid w:val="00025FF6"/>
    <w:rsid w:val="004F0BFA"/>
    <w:rsid w:val="007117C3"/>
    <w:rsid w:val="00A06931"/>
    <w:rsid w:val="00D2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2022-02-25T08:05:00Z</cp:lastPrinted>
  <dcterms:created xsi:type="dcterms:W3CDTF">2022-02-25T06:59:00Z</dcterms:created>
  <dcterms:modified xsi:type="dcterms:W3CDTF">2022-03-05T05:57:00Z</dcterms:modified>
</cp:coreProperties>
</file>