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СОВЕТ НАРОДНЫХ ДЕПУТАТОВ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ПОДГОРЕНСКОГО МУНИЦИПАЛЬНОГО РАЙОНА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ВОРОНЕЖСКОЙ ОБЛАСТИ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РЕШЕНИЕ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6E4796" w:rsidRDefault="006E4796" w:rsidP="006E4796">
      <w:pPr>
        <w:suppressAutoHyphens w:val="0"/>
        <w:autoSpaceDN w:val="0"/>
        <w:spacing w:line="276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от 25.02.2021</w:t>
      </w:r>
      <w:r>
        <w:rPr>
          <w:b/>
          <w:sz w:val="28"/>
          <w:szCs w:val="28"/>
          <w:u w:val="single"/>
          <w:lang w:eastAsia="ru-RU"/>
        </w:rPr>
        <w:t xml:space="preserve"> года № </w:t>
      </w:r>
      <w:r>
        <w:rPr>
          <w:b/>
          <w:sz w:val="28"/>
          <w:szCs w:val="28"/>
          <w:u w:val="single"/>
          <w:lang w:eastAsia="ru-RU"/>
        </w:rPr>
        <w:t>38</w:t>
      </w:r>
    </w:p>
    <w:p w:rsidR="006E4796" w:rsidRDefault="006E4796" w:rsidP="006E4796">
      <w:pPr>
        <w:suppressAutoHyphens w:val="0"/>
        <w:autoSpaceDN w:val="0"/>
        <w:spacing w:line="276" w:lineRule="auto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с.Семейка</w:t>
      </w:r>
    </w:p>
    <w:p w:rsidR="006E4796" w:rsidRDefault="006E4796" w:rsidP="006E4796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 проекте решения «</w:t>
      </w:r>
      <w:r>
        <w:rPr>
          <w:sz w:val="28"/>
          <w:szCs w:val="28"/>
        </w:rPr>
        <w:t xml:space="preserve">Об утверждении </w:t>
      </w:r>
    </w:p>
    <w:p w:rsidR="006E4796" w:rsidRDefault="006E4796" w:rsidP="006E4796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отчета об исполнении бюджета </w:t>
      </w:r>
    </w:p>
    <w:p w:rsidR="006E4796" w:rsidRDefault="006E4796" w:rsidP="006E4796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</w:t>
      </w:r>
    </w:p>
    <w:p w:rsidR="006E4796" w:rsidRDefault="006E4796" w:rsidP="006E4796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муниципального района </w:t>
      </w:r>
    </w:p>
    <w:p w:rsidR="006E4796" w:rsidRDefault="006E4796" w:rsidP="006E4796">
      <w:pPr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 12 месяцев 2020 года</w:t>
      </w:r>
      <w:r>
        <w:rPr>
          <w:sz w:val="28"/>
          <w:szCs w:val="28"/>
          <w:lang w:eastAsia="ru-RU"/>
        </w:rPr>
        <w:t xml:space="preserve">»  </w:t>
      </w:r>
    </w:p>
    <w:p w:rsidR="006E4796" w:rsidRDefault="006E4796" w:rsidP="006E4796">
      <w:pPr>
        <w:suppressAutoHyphens w:val="0"/>
        <w:autoSpaceDN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ru-RU"/>
        </w:rPr>
      </w:pPr>
    </w:p>
    <w:p w:rsidR="006E4796" w:rsidRDefault="006E4796" w:rsidP="006E479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8"/>
          <w:szCs w:val="28"/>
        </w:rPr>
        <w:t>12 месяцев 2019 года</w:t>
      </w:r>
      <w:r>
        <w:rPr>
          <w:sz w:val="28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  <w:lang w:eastAsia="ru-RU"/>
        </w:rPr>
      </w:pPr>
    </w:p>
    <w:p w:rsidR="006E4796" w:rsidRDefault="006E4796" w:rsidP="006E479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РЕШИЛ: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  <w:lang w:eastAsia="ru-RU"/>
        </w:rPr>
      </w:pPr>
    </w:p>
    <w:p w:rsidR="006E4796" w:rsidRDefault="006E4796" w:rsidP="006E479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>
        <w:rPr>
          <w:sz w:val="28"/>
          <w:szCs w:val="28"/>
        </w:rPr>
        <w:t>12 месяцев 2020 года</w:t>
      </w:r>
      <w:r>
        <w:rPr>
          <w:sz w:val="28"/>
          <w:szCs w:val="28"/>
          <w:lang w:eastAsia="ru-RU"/>
        </w:rPr>
        <w:t xml:space="preserve"> согласно приложению №1.</w:t>
      </w:r>
    </w:p>
    <w:p w:rsidR="006E4796" w:rsidRDefault="006E4796" w:rsidP="006E4796">
      <w:pPr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8"/>
          <w:lang w:eastAsia="ru-RU"/>
        </w:rPr>
        <w:t>» и участия граждан в его обсуждении, согласно приложению № 2.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8"/>
          <w:szCs w:val="28"/>
        </w:rPr>
        <w:t>12 месяцев 2020 года</w:t>
      </w:r>
      <w:r>
        <w:rPr>
          <w:sz w:val="28"/>
          <w:szCs w:val="28"/>
          <w:lang w:eastAsia="ru-RU"/>
        </w:rPr>
        <w:t xml:space="preserve">» на  11.03.2021 </w:t>
      </w:r>
      <w:r>
        <w:rPr>
          <w:sz w:val="28"/>
          <w:szCs w:val="28"/>
          <w:lang w:eastAsia="ru-RU"/>
        </w:rPr>
        <w:t>года на 10 час. 00 мин. в здании  Семейского СДК.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2019 года</w:t>
      </w:r>
      <w:r>
        <w:rPr>
          <w:sz w:val="28"/>
          <w:szCs w:val="28"/>
          <w:lang w:eastAsia="ru-RU"/>
        </w:rPr>
        <w:t>», утвердив ее персональный состав: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ab/>
        <w:t>Гермоненко Евгений Викторович - глава Семейского сельского поселения, председатель комиссии;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Члены комиссии: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2) Шуткина Ольга Григорьевна - депутат Совета народных депутатов Семейского сельского поселения;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3) Шибико Николай Петрович  - депутат Совета народных депутатов Семейского сельского поселения;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6. </w:t>
      </w:r>
      <w:proofErr w:type="gramStart"/>
      <w:r>
        <w:rPr>
          <w:sz w:val="28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8"/>
          <w:szCs w:val="28"/>
        </w:rPr>
        <w:t>12 месяцев 2020 года</w:t>
      </w:r>
      <w:r>
        <w:rPr>
          <w:sz w:val="28"/>
          <w:szCs w:val="28"/>
          <w:lang w:eastAsia="ru-RU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8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Глава Семейского </w:t>
      </w:r>
    </w:p>
    <w:p w:rsidR="006E4796" w:rsidRDefault="006E4796" w:rsidP="006E479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сельского поселения                                                            Е.В.Гермоненко</w:t>
      </w: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Приложение №1 </w:t>
      </w: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к решению Совета народных депутатов </w:t>
      </w: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Семейского сельского поселения </w:t>
      </w:r>
    </w:p>
    <w:p w:rsidR="006E4796" w:rsidRDefault="006E4796" w:rsidP="006E479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от 25.03.2021г. №38</w:t>
      </w:r>
    </w:p>
    <w:p w:rsidR="006E4796" w:rsidRDefault="006E4796" w:rsidP="006E4796">
      <w:pPr>
        <w:ind w:firstLine="851"/>
        <w:jc w:val="center"/>
        <w:rPr>
          <w:b/>
          <w:sz w:val="28"/>
        </w:rPr>
      </w:pPr>
    </w:p>
    <w:p w:rsidR="006E4796" w:rsidRDefault="006E4796" w:rsidP="006E4796">
      <w:pPr>
        <w:ind w:firstLine="851"/>
        <w:jc w:val="center"/>
        <w:rPr>
          <w:b/>
          <w:sz w:val="28"/>
        </w:rPr>
      </w:pPr>
    </w:p>
    <w:p w:rsidR="006E4796" w:rsidRDefault="006E4796" w:rsidP="006E479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6E4796" w:rsidRDefault="006E4796" w:rsidP="006E479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6E4796" w:rsidRDefault="006E4796" w:rsidP="006E479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6E4796" w:rsidRDefault="006E4796" w:rsidP="006E479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E4796" w:rsidRDefault="006E4796" w:rsidP="006E4796">
      <w:pPr>
        <w:rPr>
          <w:sz w:val="28"/>
          <w:szCs w:val="28"/>
        </w:rPr>
      </w:pPr>
    </w:p>
    <w:p w:rsidR="006E4796" w:rsidRDefault="006E4796" w:rsidP="006E4796">
      <w:pPr>
        <w:rPr>
          <w:sz w:val="28"/>
          <w:szCs w:val="28"/>
        </w:rPr>
      </w:pPr>
    </w:p>
    <w:p w:rsidR="006E4796" w:rsidRDefault="006E4796" w:rsidP="006E4796">
      <w:pPr>
        <w:ind w:firstLine="851"/>
        <w:jc w:val="center"/>
        <w:rPr>
          <w:sz w:val="28"/>
          <w:szCs w:val="28"/>
        </w:rPr>
      </w:pPr>
    </w:p>
    <w:p w:rsidR="006E4796" w:rsidRDefault="006E4796" w:rsidP="006E4796">
      <w:pPr>
        <w:ind w:firstLine="851"/>
        <w:jc w:val="center"/>
        <w:rPr>
          <w:sz w:val="28"/>
          <w:szCs w:val="28"/>
        </w:rPr>
      </w:pPr>
    </w:p>
    <w:p w:rsidR="006E4796" w:rsidRDefault="006E4796" w:rsidP="006E4796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4796" w:rsidRDefault="006E4796" w:rsidP="006E4796">
      <w:pPr>
        <w:rPr>
          <w:sz w:val="28"/>
          <w:szCs w:val="28"/>
        </w:rPr>
      </w:pPr>
    </w:p>
    <w:p w:rsidR="006E4796" w:rsidRDefault="006E4796" w:rsidP="006E479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              2020 года №</w:t>
      </w:r>
    </w:p>
    <w:p w:rsidR="006E4796" w:rsidRDefault="006E4796" w:rsidP="006E47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6E4796" w:rsidRDefault="006E4796" w:rsidP="006E4796">
      <w:pPr>
        <w:jc w:val="both"/>
        <w:rPr>
          <w:sz w:val="28"/>
          <w:szCs w:val="28"/>
        </w:rPr>
      </w:pP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2020 года.</w:t>
      </w:r>
    </w:p>
    <w:p w:rsidR="006E4796" w:rsidRDefault="006E4796" w:rsidP="006E4796">
      <w:pPr>
        <w:rPr>
          <w:sz w:val="28"/>
          <w:szCs w:val="28"/>
        </w:rPr>
      </w:pPr>
    </w:p>
    <w:p w:rsidR="006E4796" w:rsidRDefault="006E4796" w:rsidP="006E4796">
      <w:pPr>
        <w:rPr>
          <w:sz w:val="28"/>
          <w:szCs w:val="28"/>
        </w:rPr>
      </w:pPr>
    </w:p>
    <w:p w:rsidR="006E4796" w:rsidRDefault="006E4796" w:rsidP="006E4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12 месяцев 2020 года исполнен по доходам в сумме 3 672 986,64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96,5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102,7%, что в абсолютном выражении составляет 4 211,01  руб.;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100,3% в абсолютном выражении на 9 425,14 руб.;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100,1% в абсолютном выражении 96 398,08 руб.;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100,0% в абсолютном выражении 800,0 руб.;</w:t>
      </w:r>
    </w:p>
    <w:p w:rsidR="006E4796" w:rsidRDefault="006E4796" w:rsidP="006E479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иных межбюджетных трансфертов составило 94,6% в абсолютном выражении 2 339 614,13 руб.;</w:t>
      </w:r>
    </w:p>
    <w:p w:rsidR="006E4796" w:rsidRDefault="006E4796" w:rsidP="006E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Поступление неналоговых доходов 100,7%, в абсолютном выражении            101 938,28 руб., в том числе: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арендной платы за земли после разграничения государственной собственности на землю 100,7% в абсолютном выражении 67 438,28 руб.;</w:t>
      </w:r>
    </w:p>
    <w:p w:rsidR="006E4796" w:rsidRDefault="006E4796" w:rsidP="006E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100,0% в абсолютном выражении 34500,0 руб.</w:t>
      </w:r>
    </w:p>
    <w:p w:rsidR="006E4796" w:rsidRDefault="006E4796" w:rsidP="006E4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 Семейского сельского поселения за 12 месяцев 2020 год исполнен по расходам в сумме 2 646 325,81 рублей, или 95,9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общегосударственные вопросы исполнены на 99,4% к уточненному плану, в абсолютном выражении 1 958 913,85 </w:t>
      </w:r>
      <w:r>
        <w:rPr>
          <w:color w:val="000000"/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населенных пунктов исполнены на 100% к уточненному плану, в абсолютном выражении 330 005,07 рублей;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ВУС исполнены на 100,0% в абсолютном выражении 88 000,00 руб.; </w:t>
      </w:r>
    </w:p>
    <w:p w:rsidR="006E4796" w:rsidRDefault="006E4796" w:rsidP="006E4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6E4796" w:rsidRDefault="006E4796" w:rsidP="006E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национальную экономику исполнены на 86,1% в абсолютном выражении 933 025,58 руб.; </w:t>
      </w:r>
    </w:p>
    <w:p w:rsidR="006E4796" w:rsidRDefault="006E4796" w:rsidP="006E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 межбюджетные трансферты культуре исполнены на 100,0% в абсолютном выражении 385 000,00 руб.</w:t>
      </w:r>
    </w:p>
    <w:p w:rsidR="006E4796" w:rsidRDefault="006E4796" w:rsidP="006E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 на социальную политику исполнены на 100,0% в абсолютном выражении 68 235,0 руб.</w:t>
      </w:r>
    </w:p>
    <w:p w:rsidR="006E4796" w:rsidRDefault="006E4796" w:rsidP="006E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отчёт об исполнении бюджета Семейского сельского поселения за 12 месяцев  2020 года по доходам в сумме 3 672 986,64</w:t>
      </w:r>
      <w:r>
        <w:rPr>
          <w:bCs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по расходам в сумме 3 763 179,50</w:t>
      </w:r>
      <w:r>
        <w:rPr>
          <w:bCs/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Совет народных депутатов Семейского сельского поселения.</w:t>
      </w:r>
    </w:p>
    <w:p w:rsidR="006E4796" w:rsidRDefault="006E4796" w:rsidP="006E4796">
      <w:pPr>
        <w:jc w:val="center"/>
        <w:rPr>
          <w:sz w:val="28"/>
          <w:szCs w:val="28"/>
        </w:rPr>
      </w:pPr>
    </w:p>
    <w:p w:rsidR="006E4796" w:rsidRDefault="006E4796" w:rsidP="006E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4796" w:rsidRDefault="006E4796" w:rsidP="006E4796">
      <w:pPr>
        <w:jc w:val="both"/>
        <w:rPr>
          <w:sz w:val="28"/>
          <w:szCs w:val="28"/>
        </w:rPr>
      </w:pPr>
    </w:p>
    <w:p w:rsidR="006E4796" w:rsidRDefault="006E4796" w:rsidP="006E47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Семейского сельского поселения за 12 месяцев 2020 года.</w:t>
      </w:r>
    </w:p>
    <w:p w:rsidR="006E4796" w:rsidRDefault="006E4796" w:rsidP="006E47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6E4796" w:rsidRDefault="006E4796" w:rsidP="006E4796">
      <w:pPr>
        <w:ind w:left="720"/>
        <w:jc w:val="both"/>
        <w:rPr>
          <w:sz w:val="28"/>
          <w:szCs w:val="28"/>
        </w:rPr>
      </w:pPr>
    </w:p>
    <w:p w:rsidR="006E4796" w:rsidRDefault="006E4796" w:rsidP="006E4796">
      <w:pPr>
        <w:ind w:firstLine="720"/>
        <w:jc w:val="both"/>
        <w:rPr>
          <w:sz w:val="28"/>
          <w:szCs w:val="28"/>
        </w:rPr>
      </w:pPr>
    </w:p>
    <w:p w:rsidR="006E4796" w:rsidRDefault="006E4796" w:rsidP="006E4796">
      <w:pPr>
        <w:ind w:firstLine="720"/>
        <w:jc w:val="both"/>
        <w:rPr>
          <w:sz w:val="28"/>
          <w:szCs w:val="28"/>
        </w:rPr>
      </w:pPr>
    </w:p>
    <w:p w:rsidR="006E4796" w:rsidRDefault="006E4796" w:rsidP="006E4796">
      <w:pPr>
        <w:ind w:firstLine="720"/>
        <w:jc w:val="both"/>
        <w:rPr>
          <w:sz w:val="28"/>
          <w:szCs w:val="28"/>
        </w:rPr>
      </w:pPr>
    </w:p>
    <w:p w:rsidR="006E4796" w:rsidRDefault="006E4796" w:rsidP="006E4796">
      <w:pPr>
        <w:ind w:firstLine="720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Семейского </w:t>
      </w:r>
    </w:p>
    <w:p w:rsidR="006E4796" w:rsidRDefault="006E4796" w:rsidP="006E4796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                                      Е.В.Гермоненко</w:t>
      </w: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both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Семейского сельского поселения 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от 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№__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tbl>
      <w:tblPr>
        <w:tblW w:w="10591" w:type="dxa"/>
        <w:tblInd w:w="-601" w:type="dxa"/>
        <w:tblLook w:val="04A0" w:firstRow="1" w:lastRow="0" w:firstColumn="1" w:lastColumn="0" w:noHBand="0" w:noVBand="1"/>
      </w:tblPr>
      <w:tblGrid>
        <w:gridCol w:w="2978"/>
        <w:gridCol w:w="3402"/>
        <w:gridCol w:w="1440"/>
        <w:gridCol w:w="1420"/>
        <w:gridCol w:w="1351"/>
      </w:tblGrid>
      <w:tr w:rsidR="006E4796" w:rsidTr="006E4796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51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</w:tr>
      <w:tr w:rsidR="006E4796" w:rsidTr="006E4796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</w:tr>
      <w:tr w:rsidR="006E4796" w:rsidTr="006E4796">
        <w:trPr>
          <w:trHeight w:val="300"/>
        </w:trPr>
        <w:tc>
          <w:tcPr>
            <w:tcW w:w="9240" w:type="dxa"/>
            <w:gridSpan w:val="4"/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12 месяцев 2020 года</w:t>
            </w:r>
          </w:p>
        </w:tc>
        <w:tc>
          <w:tcPr>
            <w:tcW w:w="1351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</w:tr>
      <w:tr w:rsidR="006E4796" w:rsidTr="006E4796">
        <w:trPr>
          <w:trHeight w:val="255"/>
        </w:trPr>
        <w:tc>
          <w:tcPr>
            <w:tcW w:w="2978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</w:tr>
      <w:tr w:rsidR="006E4796" w:rsidTr="006E4796">
        <w:trPr>
          <w:trHeight w:val="255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2020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6E4796" w:rsidTr="006E479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6" w:rsidRDefault="006E47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6" w:rsidRDefault="006E47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6" w:rsidRDefault="006E47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96" w:rsidRDefault="006E47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796" w:rsidRDefault="006E47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6E4796" w:rsidTr="006E4796">
        <w:trPr>
          <w:trHeight w:val="2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6E4796" w:rsidTr="006E479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3 804 374,72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3 672 986,64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96,5</w:t>
            </w:r>
          </w:p>
        </w:tc>
      </w:tr>
      <w:tr w:rsidR="006E4796" w:rsidTr="006E4796">
        <w:trPr>
          <w:trHeight w:val="2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1074800,00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1 076 772,51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100,2</w:t>
            </w:r>
          </w:p>
        </w:tc>
      </w:tr>
      <w:tr w:rsidR="006E4796" w:rsidTr="006E479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4 211,01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102,7</w:t>
            </w:r>
          </w:p>
        </w:tc>
      </w:tr>
      <w:tr w:rsidR="006E4796" w:rsidTr="006E4796">
        <w:trPr>
          <w:trHeight w:val="7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4 211,01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102,7</w:t>
            </w:r>
          </w:p>
        </w:tc>
      </w:tr>
      <w:tr w:rsidR="006E4796" w:rsidTr="006E4796">
        <w:trPr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9 425,14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100,3</w:t>
            </w:r>
          </w:p>
        </w:tc>
      </w:tr>
      <w:tr w:rsidR="006E4796" w:rsidTr="006E4796">
        <w:trPr>
          <w:trHeight w:val="4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960398,08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100,1</w:t>
            </w:r>
          </w:p>
        </w:tc>
      </w:tr>
      <w:tr w:rsidR="006E4796" w:rsidTr="006E4796">
        <w:trPr>
          <w:trHeight w:val="4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609 871,46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51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350 526,62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100,4</w:t>
            </w:r>
          </w:p>
        </w:tc>
      </w:tr>
      <w:tr w:rsidR="006E4796" w:rsidTr="006E4796">
        <w:trPr>
          <w:trHeight w:val="37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67 438,28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100,7</w:t>
            </w:r>
          </w:p>
        </w:tc>
      </w:tr>
      <w:tr w:rsidR="006E4796" w:rsidTr="006E4796">
        <w:trPr>
          <w:trHeight w:val="10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lang w:eastAsia="ru-RU"/>
              </w:rPr>
              <w:t>в(</w:t>
            </w:r>
            <w:proofErr w:type="gramEnd"/>
            <w:r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67 438,28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100,7</w:t>
            </w:r>
          </w:p>
        </w:tc>
      </w:tr>
      <w:tr w:rsidR="006E4796" w:rsidTr="006E4796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000  1  17  05000  00  0000  180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50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2 729 574,72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2 596 214,13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95,1</w:t>
            </w:r>
          </w:p>
        </w:tc>
      </w:tr>
      <w:tr w:rsidR="006E4796" w:rsidTr="006E4796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2 719 574,72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2 586 214,13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95,1</w:t>
            </w:r>
          </w:p>
        </w:tc>
      </w:tr>
      <w:tr w:rsidR="006E4796" w:rsidTr="006E4796">
        <w:trPr>
          <w:trHeight w:val="4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4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84 600,00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2472974,72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2339614,13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94,6</w:t>
            </w:r>
          </w:p>
        </w:tc>
      </w:tr>
      <w:tr w:rsidR="006E4796" w:rsidTr="006E4796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6E4796" w:rsidTr="006E4796">
        <w:trPr>
          <w:trHeight w:val="7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3804374,72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3672986,64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96,5</w:t>
            </w:r>
          </w:p>
        </w:tc>
      </w:tr>
      <w:tr w:rsidR="006E4796" w:rsidTr="006E4796">
        <w:trPr>
          <w:trHeight w:val="780"/>
        </w:trPr>
        <w:tc>
          <w:tcPr>
            <w:tcW w:w="2978" w:type="dxa"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:rsidR="006E4796" w:rsidRDefault="006E4796">
            <w:pPr>
              <w:suppressAutoHyphens w:val="0"/>
              <w:rPr>
                <w:lang w:eastAsia="ru-RU"/>
              </w:rPr>
            </w:pPr>
          </w:p>
        </w:tc>
      </w:tr>
    </w:tbl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№2 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Семейского сельского поселения 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от 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№__</w:t>
      </w: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2836"/>
        <w:gridCol w:w="3495"/>
        <w:gridCol w:w="1380"/>
        <w:gridCol w:w="1208"/>
        <w:gridCol w:w="1430"/>
      </w:tblGrid>
      <w:tr w:rsidR="006E4796" w:rsidTr="006E4796">
        <w:trPr>
          <w:trHeight w:val="1080"/>
        </w:trPr>
        <w:tc>
          <w:tcPr>
            <w:tcW w:w="10349" w:type="dxa"/>
            <w:gridSpan w:val="5"/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12 месяцев 2020 год</w:t>
            </w:r>
          </w:p>
        </w:tc>
      </w:tr>
      <w:tr w:rsidR="006E4796" w:rsidTr="006E4796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6E4796" w:rsidRDefault="006E47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Исполнено 2020 год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исполнения</w:t>
            </w:r>
          </w:p>
        </w:tc>
      </w:tr>
      <w:tr w:rsidR="006E4796" w:rsidTr="006E4796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3 925 675,53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3 763 179,50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95,86</w:t>
            </w:r>
          </w:p>
        </w:tc>
      </w:tr>
      <w:tr w:rsidR="006E4796" w:rsidTr="006E4796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1 970 696,43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1 958 913,85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99,40</w:t>
            </w:r>
          </w:p>
        </w:tc>
      </w:tr>
      <w:tr w:rsidR="006E4796" w:rsidTr="006E4796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E4796" w:rsidTr="006E4796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6E4796" w:rsidTr="006E479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1 083 739,03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933 025,58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86,09</w:t>
            </w:r>
          </w:p>
        </w:tc>
      </w:tr>
      <w:tr w:rsidR="006E4796" w:rsidTr="006E4796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330 005,07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330 005,07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E4796" w:rsidTr="006E4796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385 000,00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E4796" w:rsidTr="006E4796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E4796" w:rsidTr="006E4796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4796" w:rsidRDefault="006E47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</w:tbl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6E4796" w:rsidRDefault="006E4796" w:rsidP="006E4796">
      <w:pPr>
        <w:widowControl w:val="0"/>
        <w:autoSpaceDN w:val="0"/>
        <w:jc w:val="right"/>
        <w:rPr>
          <w:rFonts w:eastAsia="Andale Sans UI" w:cs="Tahoma"/>
          <w:kern w:val="3"/>
          <w:sz w:val="28"/>
          <w:szCs w:val="24"/>
          <w:lang w:eastAsia="ja-JP" w:bidi="fa-IR"/>
        </w:rPr>
      </w:pPr>
      <w:r>
        <w:rPr>
          <w:rFonts w:eastAsia="Andale Sans UI" w:cs="Tahoma"/>
          <w:kern w:val="3"/>
          <w:sz w:val="28"/>
          <w:szCs w:val="24"/>
          <w:lang w:eastAsia="ja-JP" w:bidi="fa-IR"/>
        </w:rPr>
        <w:lastRenderedPageBreak/>
        <w:t xml:space="preserve">Приложение №2 </w:t>
      </w:r>
    </w:p>
    <w:p w:rsidR="006E4796" w:rsidRDefault="006E4796" w:rsidP="006E4796">
      <w:pPr>
        <w:widowControl w:val="0"/>
        <w:autoSpaceDN w:val="0"/>
        <w:jc w:val="right"/>
        <w:rPr>
          <w:rFonts w:eastAsia="Andale Sans UI" w:cs="Tahoma"/>
          <w:kern w:val="3"/>
          <w:sz w:val="28"/>
          <w:szCs w:val="24"/>
          <w:lang w:eastAsia="ja-JP" w:bidi="fa-IR"/>
        </w:rPr>
      </w:pPr>
      <w:r>
        <w:rPr>
          <w:rFonts w:eastAsia="Andale Sans UI" w:cs="Tahoma"/>
          <w:kern w:val="3"/>
          <w:sz w:val="28"/>
          <w:szCs w:val="24"/>
          <w:lang w:eastAsia="ja-JP" w:bidi="fa-IR"/>
        </w:rPr>
        <w:t xml:space="preserve">к решению Совета народных депутатов </w:t>
      </w:r>
    </w:p>
    <w:p w:rsidR="006E4796" w:rsidRDefault="006E4796" w:rsidP="006E4796">
      <w:pPr>
        <w:widowControl w:val="0"/>
        <w:autoSpaceDN w:val="0"/>
        <w:jc w:val="right"/>
        <w:rPr>
          <w:rFonts w:eastAsia="Andale Sans UI" w:cs="Tahoma"/>
          <w:kern w:val="3"/>
          <w:sz w:val="28"/>
          <w:szCs w:val="24"/>
          <w:lang w:eastAsia="ja-JP" w:bidi="fa-IR"/>
        </w:rPr>
      </w:pPr>
      <w:r>
        <w:rPr>
          <w:rFonts w:eastAsia="Andale Sans UI" w:cs="Tahoma"/>
          <w:kern w:val="3"/>
          <w:sz w:val="28"/>
          <w:szCs w:val="24"/>
          <w:lang w:eastAsia="ja-JP" w:bidi="fa-IR"/>
        </w:rPr>
        <w:t xml:space="preserve">Семейского сельского поселения </w:t>
      </w:r>
    </w:p>
    <w:p w:rsidR="006E4796" w:rsidRDefault="006E4796" w:rsidP="006E4796">
      <w:pPr>
        <w:widowControl w:val="0"/>
        <w:autoSpaceDN w:val="0"/>
        <w:jc w:val="right"/>
        <w:rPr>
          <w:rFonts w:eastAsia="Andale Sans UI" w:cs="Tahoma"/>
          <w:kern w:val="3"/>
          <w:sz w:val="28"/>
          <w:szCs w:val="24"/>
          <w:lang w:eastAsia="ja-JP" w:bidi="fa-IR"/>
        </w:rPr>
      </w:pPr>
      <w:r>
        <w:rPr>
          <w:rFonts w:eastAsia="Andale Sans UI" w:cs="Tahoma"/>
          <w:kern w:val="3"/>
          <w:sz w:val="28"/>
          <w:szCs w:val="24"/>
          <w:lang w:eastAsia="ja-JP" w:bidi="fa-IR"/>
        </w:rPr>
        <w:t>от 25.02.2021г. №38</w:t>
      </w:r>
      <w:bookmarkStart w:id="0" w:name="_GoBack"/>
      <w:bookmarkEnd w:id="0"/>
    </w:p>
    <w:p w:rsidR="006E4796" w:rsidRDefault="006E4796" w:rsidP="006E4796">
      <w:pPr>
        <w:widowControl w:val="0"/>
        <w:autoSpaceDN w:val="0"/>
        <w:jc w:val="right"/>
        <w:rPr>
          <w:rFonts w:eastAsia="Andale Sans UI" w:cs="Tahoma"/>
          <w:kern w:val="3"/>
          <w:sz w:val="28"/>
          <w:szCs w:val="24"/>
          <w:lang w:eastAsia="ja-JP" w:bidi="fa-IR"/>
        </w:rPr>
      </w:pPr>
    </w:p>
    <w:p w:rsidR="006E4796" w:rsidRDefault="006E4796" w:rsidP="006E4796">
      <w:pPr>
        <w:tabs>
          <w:tab w:val="left" w:pos="5257"/>
        </w:tabs>
        <w:suppressAutoHyphens w:val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Порядок</w:t>
      </w:r>
    </w:p>
    <w:p w:rsidR="006E4796" w:rsidRDefault="006E4796" w:rsidP="006E4796">
      <w:pPr>
        <w:tabs>
          <w:tab w:val="left" w:pos="5257"/>
        </w:tabs>
        <w:suppressAutoHyphens w:val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8"/>
          <w:szCs w:val="28"/>
        </w:rPr>
        <w:t>12 месяцев 2020 года</w:t>
      </w:r>
      <w:r>
        <w:rPr>
          <w:b/>
          <w:sz w:val="28"/>
          <w:szCs w:val="24"/>
          <w:lang w:eastAsia="ru-RU"/>
        </w:rPr>
        <w:t>», а также порядок участия граждан в его обсуждении</w:t>
      </w:r>
    </w:p>
    <w:p w:rsidR="006E4796" w:rsidRDefault="006E4796" w:rsidP="006E4796">
      <w:pPr>
        <w:tabs>
          <w:tab w:val="left" w:pos="5257"/>
        </w:tabs>
        <w:suppressAutoHyphens w:val="0"/>
        <w:rPr>
          <w:sz w:val="28"/>
          <w:szCs w:val="24"/>
          <w:lang w:eastAsia="ru-RU"/>
        </w:rPr>
      </w:pP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1. </w:t>
      </w:r>
      <w:proofErr w:type="gramStart"/>
      <w:r>
        <w:rPr>
          <w:sz w:val="28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</w:t>
      </w:r>
      <w:proofErr w:type="gramEnd"/>
      <w:r>
        <w:rPr>
          <w:sz w:val="28"/>
          <w:szCs w:val="28"/>
        </w:rPr>
        <w:t xml:space="preserve">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2. </w:t>
      </w:r>
      <w:proofErr w:type="gramStart"/>
      <w:r>
        <w:rPr>
          <w:sz w:val="28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>
        <w:rPr>
          <w:sz w:val="28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», а также участвовать в его обсуждении имеют жители района.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lastRenderedPageBreak/>
        <w:t>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5. </w:t>
      </w:r>
      <w:proofErr w:type="gramStart"/>
      <w:r>
        <w:rPr>
          <w:sz w:val="28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Поступившие предложения отклоняются, если: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>
        <w:rPr>
          <w:sz w:val="28"/>
          <w:szCs w:val="24"/>
          <w:lang w:eastAsia="ru-RU"/>
        </w:rPr>
        <w:t>обнародования проекта решения Совета народных депутатов</w:t>
      </w:r>
      <w:proofErr w:type="gramEnd"/>
      <w:r>
        <w:rPr>
          <w:sz w:val="28"/>
          <w:szCs w:val="24"/>
          <w:lang w:eastAsia="ru-RU"/>
        </w:rPr>
        <w:t xml:space="preserve">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7. </w:t>
      </w:r>
      <w:proofErr w:type="gramStart"/>
      <w:r>
        <w:rPr>
          <w:sz w:val="28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8"/>
          <w:szCs w:val="28"/>
        </w:rPr>
        <w:t>12 месяцев 2020 года</w:t>
      </w:r>
      <w:r>
        <w:rPr>
          <w:sz w:val="28"/>
          <w:szCs w:val="24"/>
          <w:lang w:eastAsia="ru-RU"/>
        </w:rPr>
        <w:t xml:space="preserve">» прием  предложений по </w:t>
      </w:r>
      <w:r>
        <w:rPr>
          <w:sz w:val="28"/>
          <w:szCs w:val="24"/>
          <w:lang w:eastAsia="ru-RU"/>
        </w:rPr>
        <w:lastRenderedPageBreak/>
        <w:t>проекту решения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прекращается.</w:t>
      </w:r>
      <w:proofErr w:type="gramEnd"/>
      <w:r>
        <w:rPr>
          <w:sz w:val="28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8. </w:t>
      </w:r>
      <w:proofErr w:type="gramStart"/>
      <w:r>
        <w:rPr>
          <w:sz w:val="28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или при заседании</w:t>
      </w:r>
      <w:proofErr w:type="gramEnd"/>
      <w:r>
        <w:rPr>
          <w:sz w:val="28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при рассмотрении письменных предложений.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6E4796" w:rsidRDefault="006E4796" w:rsidP="006E4796">
      <w:pPr>
        <w:tabs>
          <w:tab w:val="left" w:pos="5257"/>
        </w:tabs>
        <w:suppressAutoHyphens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Принципами </w:t>
      </w:r>
      <w:proofErr w:type="gramStart"/>
      <w:r>
        <w:rPr>
          <w:sz w:val="28"/>
          <w:szCs w:val="24"/>
          <w:lang w:eastAsia="ru-RU"/>
        </w:rPr>
        <w:t>обсуждения проекта решения Совета народных депутатов</w:t>
      </w:r>
      <w:proofErr w:type="gramEnd"/>
      <w:r>
        <w:rPr>
          <w:sz w:val="28"/>
          <w:szCs w:val="24"/>
          <w:lang w:eastAsia="ru-RU"/>
        </w:rPr>
        <w:t xml:space="preserve"> поселения «</w:t>
      </w:r>
      <w:r>
        <w:rPr>
          <w:sz w:val="28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12 месяцев 2020 года</w:t>
      </w:r>
      <w:r>
        <w:rPr>
          <w:sz w:val="28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6E4796" w:rsidRDefault="006E4796" w:rsidP="006E4796">
      <w:pPr>
        <w:widowControl w:val="0"/>
        <w:autoSpaceDN w:val="0"/>
        <w:jc w:val="center"/>
        <w:rPr>
          <w:rFonts w:eastAsia="Andale Sans UI" w:cs="Tahoma"/>
          <w:kern w:val="3"/>
          <w:sz w:val="28"/>
          <w:szCs w:val="24"/>
          <w:lang w:eastAsia="ja-JP" w:bidi="fa-IR"/>
        </w:rPr>
      </w:pPr>
    </w:p>
    <w:p w:rsidR="006E4796" w:rsidRDefault="006E4796" w:rsidP="006E4796">
      <w:pPr>
        <w:widowControl w:val="0"/>
        <w:autoSpaceDN w:val="0"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6E4796" w:rsidRDefault="006E4796" w:rsidP="006E4796">
      <w:pPr>
        <w:ind w:hanging="567"/>
        <w:jc w:val="right"/>
        <w:rPr>
          <w:sz w:val="28"/>
          <w:szCs w:val="28"/>
        </w:rPr>
      </w:pPr>
    </w:p>
    <w:p w:rsidR="000B116B" w:rsidRDefault="000B116B"/>
    <w:sectPr w:rsidR="000B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4A"/>
    <w:rsid w:val="000B116B"/>
    <w:rsid w:val="00576A4A"/>
    <w:rsid w:val="006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9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9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</cp:revision>
  <cp:lastPrinted>2021-02-25T06:21:00Z</cp:lastPrinted>
  <dcterms:created xsi:type="dcterms:W3CDTF">2021-02-25T06:16:00Z</dcterms:created>
  <dcterms:modified xsi:type="dcterms:W3CDTF">2021-02-25T06:22:00Z</dcterms:modified>
</cp:coreProperties>
</file>