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F1D2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t>ПРЕСС-РЕЛИЗ</w:t>
      </w:r>
    </w:p>
    <w:p w14:paraId="7686B8B0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682902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t>Кадастровая палата по Воронежской области</w:t>
      </w:r>
    </w:p>
    <w:p w14:paraId="1BF9E8F4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t>завершила работу по внесению границ</w:t>
      </w:r>
    </w:p>
    <w:p w14:paraId="5D6A8718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32"/>
          <w:szCs w:val="32"/>
          <w:lang w:eastAsia="ru-RU"/>
          <w14:ligatures w14:val="none"/>
        </w:rPr>
        <w:t>муниципальных образований в ЕГРН</w:t>
      </w:r>
    </w:p>
    <w:p w14:paraId="5ACD953C" w14:textId="77777777" w:rsidR="009E7C8F" w:rsidRPr="009E7C8F" w:rsidRDefault="009E7C8F" w:rsidP="009E7C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E2FFC2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Всего на территории Воронежской области внесено 479 границ муниципальных образований</w:t>
      </w:r>
    </w:p>
    <w:p w14:paraId="6E7A6A99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 итогам первого квартала 2019 года в Едином государственном реестре недвижимости (ЕГРН) содержатся сведения о 13 </w:t>
      </w:r>
      <w:r w:rsidRPr="009E7C8F">
        <w:rPr>
          <w:rFonts w:ascii="Times New Roman" w:eastAsia="Times New Roman" w:hAnsi="Times New Roman" w:cs="Times New Roman"/>
          <w:color w:val="212121"/>
          <w:spacing w:val="-5"/>
          <w:kern w:val="0"/>
          <w:sz w:val="24"/>
          <w:szCs w:val="24"/>
          <w:lang w:eastAsia="ru-RU"/>
          <w14:ligatures w14:val="none"/>
        </w:rPr>
        <w:t>143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границах муниципальных образований Российской Федерации, что составляет 60% от общего количества.</w:t>
      </w:r>
    </w:p>
    <w:p w14:paraId="69586777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По итогам первого квартала 2019 года более половины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spacing w:val="-3"/>
          <w:kern w:val="0"/>
          <w:sz w:val="24"/>
          <w:szCs w:val="24"/>
          <w:lang w:eastAsia="ru-RU"/>
          <w14:ligatures w14:val="none"/>
        </w:rPr>
        <w:t>границ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муниципальных образований внесены в ЕГРН. Наличие актуальных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spacing w:val="-3"/>
          <w:kern w:val="0"/>
          <w:sz w:val="24"/>
          <w:szCs w:val="24"/>
          <w:lang w:eastAsia="ru-RU"/>
          <w14:ligatures w14:val="none"/>
        </w:rPr>
        <w:t>сведений 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в реестре способствует развитию территорий,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spacing w:val="-2"/>
          <w:kern w:val="0"/>
          <w:sz w:val="24"/>
          <w:szCs w:val="24"/>
          <w:lang w:eastAsia="ru-RU"/>
          <w14:ligatures w14:val="none"/>
        </w:rPr>
        <w:t>рациональному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использованию земельных ресурсов, эффективному налогообложению,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spacing w:val="-19"/>
          <w:kern w:val="0"/>
          <w:sz w:val="24"/>
          <w:szCs w:val="24"/>
          <w:lang w:eastAsia="ru-RU"/>
          <w14:ligatures w14:val="none"/>
        </w:rPr>
        <w:t>а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также гарантирует права собственников недвижимости, снижает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spacing w:val="-4"/>
          <w:kern w:val="0"/>
          <w:sz w:val="24"/>
          <w:szCs w:val="24"/>
          <w:lang w:eastAsia="ru-RU"/>
          <w14:ligatures w14:val="none"/>
        </w:rPr>
        <w:t>риски </w:t>
      </w:r>
      <w:r w:rsidRPr="009E7C8F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ru-RU"/>
          <w14:ligatures w14:val="none"/>
        </w:rPr>
        <w:t>ведения бизнеса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», - сказала Марина Семенова, замглавы Федеральной кадастровой палаты Росреестра.</w:t>
      </w:r>
    </w:p>
    <w:p w14:paraId="7F86320B" w14:textId="77777777" w:rsidR="009E7C8F" w:rsidRPr="009E7C8F" w:rsidRDefault="009E7C8F" w:rsidP="009E7C8F">
      <w:pPr>
        <w:shd w:val="clear" w:color="auto" w:fill="FFFFFF"/>
        <w:spacing w:before="160" w:after="0" w:line="240" w:lineRule="auto"/>
        <w:ind w:left="10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первом квартале 2019 года наиболее активную работу по внесению сведений о границах муниципальных образований провели в Курганской области, Республике Тыва, Оренбургской области, г. Санкт-Петербурге и Забайкальском крае.</w:t>
      </w:r>
    </w:p>
    <w:p w14:paraId="5A3ACCD3" w14:textId="77777777" w:rsidR="009E7C8F" w:rsidRPr="009E7C8F" w:rsidRDefault="009E7C8F" w:rsidP="009E7C8F">
      <w:pPr>
        <w:shd w:val="clear" w:color="auto" w:fill="FFFFFF"/>
        <w:spacing w:before="160" w:after="0" w:line="240" w:lineRule="auto"/>
        <w:ind w:left="10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ЕГРН внесены все границы муниципальных образований в 12 субъектах Российской Федерации: Воронежской, Амурской, Владимирской, Новосибирской, Рязанской, Сахалинской, Смоленской, Челябинской областях, в Республиках Алтай и Татарстан, Алтайском крае и Ямало-Ненецком автономном округе.</w:t>
      </w:r>
    </w:p>
    <w:p w14:paraId="1CD0AC2C" w14:textId="77777777" w:rsidR="009E7C8F" w:rsidRPr="009E7C8F" w:rsidRDefault="009E7C8F" w:rsidP="009E7C8F">
      <w:pPr>
        <w:shd w:val="clear" w:color="auto" w:fill="FFFFFF"/>
        <w:spacing w:before="160" w:after="0" w:line="240" w:lineRule="auto"/>
        <w:ind w:left="10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этом в ЕГРН отсутствует информация о границах муниципальных образований, расположенных на территории Москвы, </w:t>
      </w:r>
      <w:r w:rsidRPr="009E7C8F">
        <w:rPr>
          <w:rFonts w:ascii="Times New Roman" w:eastAsia="Times New Roman" w:hAnsi="Times New Roman" w:cs="Times New Roman"/>
          <w:color w:val="212121"/>
          <w:spacing w:val="-2"/>
          <w:kern w:val="0"/>
          <w:sz w:val="24"/>
          <w:szCs w:val="24"/>
          <w:lang w:eastAsia="ru-RU"/>
          <w14:ligatures w14:val="none"/>
        </w:rPr>
        <w:t>Севастополя,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Магаданской и Ростовской областей, Республики Крым, а также Чукотского автономного округа.</w:t>
      </w:r>
    </w:p>
    <w:p w14:paraId="0C69CE95" w14:textId="77777777" w:rsidR="009E7C8F" w:rsidRPr="009E7C8F" w:rsidRDefault="009E7C8F" w:rsidP="009E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26DF41" w14:textId="77777777" w:rsidR="009E7C8F" w:rsidRPr="009E7C8F" w:rsidRDefault="009E7C8F" w:rsidP="009E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4F9223" w14:textId="77777777" w:rsidR="009E7C8F" w:rsidRPr="009E7C8F" w:rsidRDefault="009E7C8F" w:rsidP="009E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A6142B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b/>
          <w:bCs/>
          <w:color w:val="212121"/>
          <w:kern w:val="0"/>
          <w:sz w:val="18"/>
          <w:szCs w:val="18"/>
          <w:lang w:eastAsia="ru-RU"/>
          <w14:ligatures w14:val="none"/>
        </w:rPr>
        <w:t>Контакты для СМИ</w:t>
      </w:r>
    </w:p>
    <w:p w14:paraId="01608C18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Жуйкова Ирина Юрьевна</w:t>
      </w:r>
    </w:p>
    <w:p w14:paraId="6FEB195B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ведущий инженер отдела контроля и</w:t>
      </w:r>
    </w:p>
    <w:p w14:paraId="2938B172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анализа деятельности Кадастровой палаты</w:t>
      </w:r>
    </w:p>
    <w:p w14:paraId="7EFC2B51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по Воронежской области</w:t>
      </w:r>
    </w:p>
    <w:p w14:paraId="2B16B884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тел. 8 (473) 327-18-92</w:t>
      </w:r>
    </w:p>
    <w:p w14:paraId="21B15D9F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E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-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mail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: 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press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@36.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kadastr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eastAsia="ru-RU"/>
          <w14:ligatures w14:val="none"/>
        </w:rPr>
        <w:t>.</w:t>
      </w: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ru</w:t>
      </w:r>
    </w:p>
    <w:p w14:paraId="2C61630C" w14:textId="77777777" w:rsidR="009E7C8F" w:rsidRPr="009E7C8F" w:rsidRDefault="009E7C8F" w:rsidP="009E7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E7C8F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:lang w:val="en-US" w:eastAsia="ru-RU"/>
          <w14:ligatures w14:val="none"/>
        </w:rPr>
        <w:t>https://vk.com/fkp_36</w:t>
      </w:r>
    </w:p>
    <w:p w14:paraId="3FEFFE8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A9"/>
    <w:rsid w:val="00046EA9"/>
    <w:rsid w:val="00617A72"/>
    <w:rsid w:val="009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0F29-7215-417C-9C9A-26D9E986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9E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7C8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2023-05-15T14:58:00Z</dcterms:created>
  <dcterms:modified xsi:type="dcterms:W3CDTF">2023-05-15T14:58:00Z</dcterms:modified>
</cp:coreProperties>
</file>