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4BA0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 ЕГРН содержится почти 30% всех границ населенных пунктов России</w:t>
      </w:r>
    </w:p>
    <w:p w14:paraId="7624112A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0B36281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По сравнению с прошлым годом количество внесенных в госреестр недвижимости сведений о границах населенных пунктов увеличилось на 31%</w:t>
      </w:r>
    </w:p>
    <w:p w14:paraId="5CD6DE94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В 2019 году Федеральная кадастровая палата внесла в Единый государственный реестр недвижимости сведения о 10 953 границах населенных пунктов. Всего в госреестре по состоянию на 1 января 2020 года содержатся сведения о 46 184 границах населенных пунктов. В стране 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noBreakHyphen/>
        <w:t xml:space="preserve"> немногим более 155,7 тысяч населенных пунктов. Таким образом, на начало 2020 года ЕГРН содержит сведения почти о 30% границ населенных пунктов.</w:t>
      </w:r>
    </w:p>
    <w:p w14:paraId="3A25CD4D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2019 году Единый государственный реестр недвижимости пополнили сведения о 10</w:t>
      </w:r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8"/>
          <w:szCs w:val="28"/>
        </w:rPr>
        <w:t>953 границах населенных пунктов. По состоянию на 1 января 2020 года в нем содержатся сведения о 46</w:t>
      </w:r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8"/>
          <w:szCs w:val="28"/>
        </w:rPr>
        <w:t>184 границах населенных пунктов. Таким образом, прирост по отношению к 2018 году составил почти 31%. </w:t>
      </w:r>
      <w:r>
        <w:rPr>
          <w:rFonts w:ascii="Calibri" w:hAnsi="Calibri" w:cs="Calibri"/>
          <w:color w:val="000000"/>
          <w:sz w:val="28"/>
          <w:szCs w:val="28"/>
        </w:rPr>
        <w:t>Всего в России немногим более 155,7 тысяч населенных пунктов. Таким образом, на начало 2020 года ЕГРН содержит сведения почти о 30% границ населенных пунктов.</w:t>
      </w:r>
    </w:p>
    <w:p w14:paraId="5741CE46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минувшем году реестр границ пополнился сведениями и о границах региональных столиц – Кургана и Новосибирска. Всего в ЕГРН содержатся сведения </w:t>
      </w:r>
      <w:r>
        <w:rPr>
          <w:rStyle w:val="a4"/>
          <w:rFonts w:ascii="Calibri" w:hAnsi="Calibri" w:cs="Calibri"/>
          <w:color w:val="0563C1"/>
          <w:sz w:val="28"/>
          <w:szCs w:val="28"/>
        </w:rPr>
        <w:t>почти о 40 столицах различных субъектов федерации</w:t>
      </w:r>
      <w:r>
        <w:rPr>
          <w:rFonts w:ascii="Calibri" w:hAnsi="Calibri" w:cs="Calibri"/>
          <w:color w:val="212121"/>
          <w:sz w:val="28"/>
          <w:szCs w:val="28"/>
        </w:rPr>
        <w:t>. В частности, сведения о границах городов: Майкоп, Улан-Удэ, Горно-Алтайск, Элиста, Якутск, Казань, Ижевск, 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</w:p>
    <w:p w14:paraId="12934254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 отмечают эксперты Кадастровой палаты, поддержание актуальности сведений о границах населенных пунктов помогает сократить число земельных споров между правообладателями и улучшить качество управления территориями и земельными ресурсами регионов.</w:t>
      </w:r>
    </w:p>
    <w:p w14:paraId="36643D66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Согласно действующему законодательству, работы по установлению точных границ инициируют региональные и местные администрации, они же направляют полученные сведения в Кадастровую палату. Лучше всего с задачей справляются в Чувашской республике – там в госреестр внесено 99,1% границ населенных пунктов. В Белгородской области внесено 96,8%, в Краснодарском крае – 94,4%, В Тюменской области – 88%, в Республике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Бурятия – 87,5%, в Алтайском крае – 87,5%, а во Владимирской области – 84,5%.</w:t>
      </w:r>
    </w:p>
    <w:p w14:paraId="3E944454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Земельный кодекс РФ уточняет, что под установлением границ следует понимать утверждение или изменение генерального плана населенного пункта, а также утверждение или изменение схемы территориального планирования, отображающей границы сельских населенных пунктов, расположенных за пределами границ поселений.</w:t>
      </w:r>
    </w:p>
    <w:p w14:paraId="590E0EED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Границы населенных пунктов отделяют их земли от земель иных категорий. На землях населенных пунктов разрешено строительство жилых домов, возведение социальных объектов и объектов ЖКХ.</w:t>
      </w:r>
    </w:p>
    <w:p w14:paraId="0B5F6DB9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Важно помнить, что при включении частных земельных участков в границы населенных пунктов, права собственников, равно как и арендаторов, сохраняются за ними в полном объеме, отмечают эксперты ФКП.</w:t>
      </w:r>
    </w:p>
    <w:p w14:paraId="6700FA97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состав земель населенных пунктов могут входить земельные участки, отнесенные к различным территориальным зонам. Такие зоны могут быть жилыми, производственными, общественно-деловыми и рекреационными, зонами инженерных и транспортных инфраструктур и так далее. Границы и градостроительные регламенты для каждой территориальной зоны определяются правилами землепользования и застройки. Земельный кодекс особо оговаривает обязательность исполнения градостроительных регламентов всеми собственниками земельных участков независимо от форм собственности и иных прав на земельные участки.</w:t>
      </w:r>
    </w:p>
    <w:p w14:paraId="2B9A6F63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EAFFE75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20C1B203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41D6D8F5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6A4E0DDC" w14:textId="77777777" w:rsidR="005053A3" w:rsidRDefault="005053A3" w:rsidP="005053A3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color w:val="0563C1"/>
            <w:lang w:val="en-US"/>
          </w:rPr>
          <w:t>press</w:t>
        </w:r>
        <w:r>
          <w:rPr>
            <w:rStyle w:val="a4"/>
            <w:rFonts w:ascii="Calibri" w:hAnsi="Calibri" w:cs="Calibri"/>
            <w:color w:val="0563C1"/>
          </w:rPr>
          <w:t>@36.</w:t>
        </w:r>
        <w:r>
          <w:rPr>
            <w:rStyle w:val="a4"/>
            <w:rFonts w:ascii="Calibri" w:hAnsi="Calibri" w:cs="Calibri"/>
            <w:color w:val="0563C1"/>
            <w:lang w:val="en-US"/>
          </w:rPr>
          <w:t>kadastr</w:t>
        </w:r>
        <w:r>
          <w:rPr>
            <w:rStyle w:val="a4"/>
            <w:rFonts w:ascii="Calibri" w:hAnsi="Calibri" w:cs="Calibri"/>
            <w:color w:val="0563C1"/>
          </w:rPr>
          <w:t>.</w:t>
        </w:r>
        <w:r>
          <w:rPr>
            <w:rStyle w:val="a4"/>
            <w:rFonts w:ascii="Calibri" w:hAnsi="Calibri" w:cs="Calibri"/>
            <w:color w:val="0563C1"/>
            <w:lang w:val="en-US"/>
          </w:rPr>
          <w:t>ru</w:t>
        </w:r>
      </w:hyperlink>
    </w:p>
    <w:p w14:paraId="22F5BCC8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CA"/>
    <w:rsid w:val="005053A3"/>
    <w:rsid w:val="005773CA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F155F-6BD1-4516-AAAA-71A3622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2023-05-15T14:46:00Z</dcterms:created>
  <dcterms:modified xsi:type="dcterms:W3CDTF">2023-05-15T14:46:00Z</dcterms:modified>
</cp:coreProperties>
</file>